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B2A4A" w:val="clear"/>
        <w:spacing w:after="0" w:before="200"/>
      </w:pPr>
      <w:r>
        <w:rPr>
          <w:rFonts w:ascii="Arial" w:cs="Arial" w:eastAsia="Arial" w:hAnsi="Arial"/>
          <w:sz w:val="4"/>
          <w:szCs w:val="4"/>
        </w:rPr>
        <w:t xml:space="preserve"/>
      </w:r>
    </w:p>
    <w:p>
      <w:pPr>
        <w:shd w:fill="1B2A4A" w:val="clear"/>
        <w:spacing w:after="0" w:before="0"/>
        <w:ind w:left="360"/>
      </w:pPr>
      <w:r>
        <w:rPr>
          <w:rFonts w:ascii="Arial" w:cs="Arial" w:eastAsia="Arial" w:hAnsi="Arial"/>
          <w:b/>
          <w:bCs/>
          <w:color w:val="C8930A"/>
          <w:sz w:val="18"/>
          <w:szCs w:val="18"/>
        </w:rPr>
        <w:br/>
        <w:t xml:space="preserve">INVESTMENT COMMITTEE MEMO</w:t>
      </w:r>
      <w:r>
        <w:rPr>
          <w:rFonts w:ascii="Arial" w:cs="Arial" w:eastAsia="Arial" w:hAnsi="Arial"/>
          <w:b/>
          <w:bCs/>
          <w:color w:val="FFFFFF"/>
          <w:sz w:val="36"/>
          <w:szCs w:val="36"/>
        </w:rPr>
        <w:br/>
        <w:t xml:space="preserve">Coherent Corp.  (NYSE: COHR)</w:t>
      </w:r>
      <w:r>
        <w:rPr>
          <w:rFonts w:ascii="Arial" w:cs="Arial" w:eastAsia="Arial" w:hAnsi="Arial"/>
          <w:color w:val="D9DDE6"/>
          <w:sz w:val="20"/>
          <w:szCs w:val="20"/>
        </w:rPr>
        <w:br/>
        <w:t xml:space="preserve">AI Photonics Infrastructure  |  Vertical InP Integration  |  1.6T Transceiver Ramp</w:t>
      </w:r>
      <w:r>
        <w:rPr>
          <w:rFonts w:ascii="Arial" w:cs="Arial" w:eastAsia="Arial" w:hAnsi="Arial"/>
          <w:sz w:val="8"/>
          <w:szCs w:val="8"/>
        </w:rPr>
        <w:t xml:space="preserve"/>
      </w:r>
    </w:p>
    <w:p>
      <w:pPr>
        <w:shd w:fill="C8930A" w:val="clear"/>
        <w:spacing w:after="0" w:before="0"/>
      </w:pPr>
      <w:r>
        <w:rPr>
          <w:rFonts w:ascii="Arial" w:cs="Arial" w:eastAsia="Arial" w:hAnsi="Arial"/>
          <w:sz w:val="12"/>
          <w:szCs w:val="12"/>
        </w:rPr>
        <w:t xml:space="preserve"> </w:t>
      </w:r>
    </w:p>
    <w:p>
      <w:pPr>
        <w:spacing w:after="0" w:before="120"/>
      </w:pP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800"/>
        <w:gridCol w:w="1500"/>
        <w:gridCol w:w="1800"/>
        <w:gridCol w:w="1800"/>
        <w:gridCol w:w="1680"/>
        <w:gridCol w:w="1500"/>
      </w:tblGrid>
      <w:tr>
        <w:tc>
          <w:tcPr>
            <w:tcW w:type="dxa" w:w="1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77777"/>
                <w:sz w:val="14"/>
                <w:szCs w:val="14"/>
              </w:rPr>
              <w:t xml:space="preserve">RECOMMENDATION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22"/>
                <w:szCs w:val="22"/>
              </w:rPr>
              <w:t xml:space="preserve">BUY</w:t>
            </w:r>
          </w:p>
        </w:tc>
        <w:tc>
          <w:tcPr>
            <w:tcW w:type="dxa" w:w="1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77777"/>
                <w:sz w:val="14"/>
                <w:szCs w:val="14"/>
              </w:rPr>
              <w:t xml:space="preserve">CONVICTION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HIGH</w:t>
            </w:r>
          </w:p>
        </w:tc>
        <w:tc>
          <w:tcPr>
            <w:tcW w:type="dxa" w:w="1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77777"/>
                <w:sz w:val="14"/>
                <w:szCs w:val="14"/>
              </w:rPr>
              <w:t xml:space="preserve">PRICE (APPROX)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22"/>
                <w:szCs w:val="22"/>
              </w:rPr>
              <w:t xml:space="preserve">~$350</w:t>
            </w:r>
          </w:p>
        </w:tc>
        <w:tc>
          <w:tcPr>
            <w:tcW w:type="dxa" w:w="1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77777"/>
                <w:sz w:val="14"/>
                <w:szCs w:val="14"/>
              </w:rPr>
              <w:t xml:space="preserve">MKT CAP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333333"/>
                <w:sz w:val="22"/>
                <w:szCs w:val="22"/>
              </w:rPr>
              <w:t xml:space="preserve">~$67B</w:t>
            </w:r>
          </w:p>
        </w:tc>
        <w:tc>
          <w:tcPr>
            <w:tcW w:type="dxa" w:w="1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77777"/>
                <w:sz w:val="14"/>
                <w:szCs w:val="14"/>
              </w:rPr>
              <w:t xml:space="preserve">3-YR TARGET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~$420 base</w:t>
            </w:r>
          </w:p>
        </w:tc>
        <w:tc>
          <w:tcPr>
            <w:tcW w:type="dxa" w:w="1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4F7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777777"/>
                <w:sz w:val="14"/>
                <w:szCs w:val="14"/>
              </w:rPr>
              <w:t xml:space="preserve">P-W RETURN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22"/>
                <w:szCs w:val="22"/>
              </w:rPr>
              <w:t xml:space="preserve">+11% (3yr)</w:t>
            </w:r>
          </w:p>
        </w:tc>
      </w:tr>
    </w:tbl>
    <w:p>
      <w:pPr>
        <w:spacing w:after="0" w:before="160"/>
      </w:pPr>
    </w:p>
    <w:p>
      <w:pPr>
        <w:spacing w:after="60" w:before="120"/>
      </w:pPr>
      <w:r>
        <w:rPr>
          <w:rFonts w:ascii="Arial" w:cs="Arial" w:eastAsia="Arial" w:hAnsi="Arial"/>
          <w:b/>
          <w:bCs/>
          <w:color w:val="C8930A"/>
          <w:sz w:val="16"/>
          <w:szCs w:val="16"/>
        </w:rPr>
        <w:t xml:space="preserve">ONE-SENTENCE THESIS</w:t>
      </w:r>
    </w:p>
    <w:p>
      <w:pPr>
        <w:shd w:fill="EEF3FB" w:val="clear"/>
        <w:spacing w:after="80" w:before="80"/>
        <w:ind w:left="240" w:right="240"/>
      </w:pPr>
      <w:r>
        <w:rPr>
          <w:rFonts w:ascii="Arial" w:cs="Arial" w:eastAsia="Arial" w:hAnsi="Arial"/>
          <w:i/>
          <w:iCs/>
          <w:color w:val="1B2A4A"/>
          <w:sz w:val="20"/>
          <w:szCs w:val="20"/>
        </w:rPr>
        <w:t xml:space="preserve">Coherent is the only vertically integrated photonics manufacturer with a process-level moat in indium phosphide lasers, a NVIDIA-endorsed supply position, and a generational upgrade cycle from 800G to 1.6T to co-packaged optics that compounds its competitive advantage with every dollar of new capacity.</w:t>
      </w:r>
    </w:p>
    <w:p>
      <w:pPr>
        <w:spacing w:after="0" w:before="100"/>
      </w:pPr>
    </w:p>
    <w:p>
      <w:pPr>
        <w:spacing w:after="60" w:before="120"/>
      </w:pPr>
      <w:r>
        <w:rPr>
          <w:rFonts w:ascii="Arial" w:cs="Arial" w:eastAsia="Arial" w:hAnsi="Arial"/>
          <w:b/>
          <w:bCs/>
          <w:color w:val="C8930A"/>
          <w:sz w:val="16"/>
          <w:szCs w:val="16"/>
        </w:rPr>
        <w:t xml:space="preserve">INVESTMENT THESIS</w:t>
      </w:r>
    </w:p>
    <w:p>
      <w:p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Coherent sits at the physical layer of the AI infrastructure buildout. Its 20-year indium phosphide (InP) manufacturing platform — now scaling through the world's first 6-inch production lines in Sherman, Texas and Järfälla, Sweden — gives it a structural cost and supply advantage that no competitor can replicate on any realistic 3–5 year timeline. The NVIDIA $2B strategic investment + multi-year purchase commitment (March 2026) is the strongest third-party validation of this moat in the company's history. With book-to-bill above 4x in the Datacenter segment and most of CY2026 already booked, demand visibility is the best it has ever been.</w:t>
      </w:r>
    </w:p>
    <w:p>
      <w:pPr>
        <w:spacing w:after="0" w:before="100"/>
      </w:pPr>
    </w:p>
    <w:p>
      <w:pPr>
        <w:spacing w:after="60" w:before="120"/>
      </w:pPr>
      <w:r>
        <w:rPr>
          <w:rFonts w:ascii="Arial" w:cs="Arial" w:eastAsia="Arial" w:hAnsi="Arial"/>
          <w:b/>
          <w:bCs/>
          <w:color w:val="C8930A"/>
          <w:sz w:val="16"/>
          <w:szCs w:val="16"/>
        </w:rPr>
        <w:t xml:space="preserve">FINANCIAL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5360"/>
        <w:gridCol w:w="0"/>
      </w:tblGrid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Metric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Value / Commentary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FY2025 Revenue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$5.81B  (+23% YoY — record)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LTM Revenue (Mar 2026)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$6.60B  (+18% YoY)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Q3 FY26 Revenue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$1.81B  (+21% YoY, +27% pro forma)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Non-GAAP Gross Margin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39.6% in Q3 FY26  →  target &gt;42%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Non-GAAP EPS FY25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$3.53  (up 191% YoY)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Non-GAAP EPS Q3 FY26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$1.41/qtr  (annualizing ~$5.50+)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Total Debt (Jun 2025)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$3.69B  (down from $4.10B; improving fast)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Cash (Jun 2025)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$909M  (pre-NVIDIA $2B equity investment)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Datacenter Rev Share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75% of revenue; +41% YoY pro forma in Q3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Book-to-Bill (Datacenter)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&gt;4x  — most of CY2026 booked; CY2027 filling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NVIDIA Investment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$2B equity + multi-billion purchase commitment</w:t>
            </w:r>
          </w:p>
        </w:tc>
      </w:tr>
      <w:tr>
        <w:tc>
          <w:tcPr>
            <w:tcW w:type="dxa" w:w="4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S&amp;P 500 Inclusion</w:t>
            </w:r>
          </w:p>
        </w:tc>
        <w:tc>
          <w:tcPr>
            <w:tcW w:type="dxa" w:w="5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March 23, 2026</w:t>
            </w:r>
          </w:p>
        </w:tc>
      </w:tr>
    </w:tbl>
    <w:p>
      <w:pPr>
        <w:spacing w:after="0" w:before="160"/>
      </w:pPr>
    </w:p>
    <w:p>
      <w:pPr>
        <w:spacing w:after="60" w:before="120"/>
      </w:pPr>
      <w:r>
        <w:rPr>
          <w:rFonts w:ascii="Arial" w:cs="Arial" w:eastAsia="Arial" w:hAnsi="Arial"/>
          <w:b/>
          <w:bCs/>
          <w:color w:val="C8930A"/>
          <w:sz w:val="16"/>
          <w:szCs w:val="16"/>
        </w:rPr>
        <w:t xml:space="preserve">INVESTMENT SCORECARD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900"/>
        <w:gridCol w:w="5660"/>
        <w:gridCol w:w="0"/>
      </w:tblGrid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Score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FFFFFF"/>
                <w:sz w:val="18"/>
                <w:szCs w:val="18"/>
              </w:rPr>
              <w:t xml:space="preserve">Commentary</w:t>
            </w:r>
          </w:p>
        </w:tc>
      </w:tr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Economic Moat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18"/>
                <w:szCs w:val="18"/>
              </w:rPr>
              <w:t xml:space="preserve">7.5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InP process moat is genuine; module assembly layer more contestable</w:t>
            </w:r>
          </w:p>
        </w:tc>
      </w:tr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Financial Strength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18"/>
                <w:szCs w:val="18"/>
              </w:rPr>
              <w:t xml:space="preserve">6.0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Debt declining; GAAP thin; non-GAAP robust and rapidly improving</w:t>
            </w:r>
          </w:p>
        </w:tc>
      </w:tr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Capital Allocation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18"/>
                <w:szCs w:val="18"/>
              </w:rPr>
              <w:t xml:space="preserve">8.0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NVIDIA deal structure is a masterstroke; divestitures correct</w:t>
            </w:r>
          </w:p>
        </w:tc>
      </w:tr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Management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18"/>
                <w:szCs w:val="18"/>
              </w:rPr>
              <w:t xml:space="preserve">7.5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Anderson executing well; inherited acquisition complexity</w:t>
            </w:r>
          </w:p>
        </w:tc>
      </w:tr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Growth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18"/>
                <w:szCs w:val="18"/>
              </w:rPr>
              <w:t xml:space="preserve">9.0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20–40% revenue growth; CPO optionality; strongest visibility ever</w:t>
            </w:r>
          </w:p>
        </w:tc>
      </w:tr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Valuation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C62828"/>
                <w:sz w:val="18"/>
                <w:szCs w:val="18"/>
              </w:rPr>
              <w:t xml:space="preserve">5.5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~60x non-GAAP FY26E P/E — full price; no margin for error</w:t>
            </w:r>
          </w:p>
        </w:tc>
      </w:tr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Risk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65100"/>
                <w:sz w:val="18"/>
                <w:szCs w:val="18"/>
              </w:rPr>
              <w:t xml:space="preserve">6.0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AI cycle dependency; Chinese competition; customer concentration</w:t>
            </w:r>
          </w:p>
        </w:tc>
      </w:tr>
      <w:tr>
        <w:tc>
          <w:tcPr>
            <w:tcW w:type="dxa" w:w="2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TOTAL (Weighted)</w:t>
            </w:r>
          </w:p>
        </w:tc>
        <w:tc>
          <w:tcPr>
            <w:tcW w:type="dxa" w:w="9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2E7D32"/>
                <w:sz w:val="18"/>
                <w:szCs w:val="18"/>
              </w:rPr>
              <w:t xml:space="preserve">72.3</w:t>
            </w:r>
          </w:p>
        </w:tc>
        <w:tc>
          <w:tcPr>
            <w:tcW w:type="dxa" w:w="56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444444"/>
                <w:sz w:val="18"/>
                <w:szCs w:val="18"/>
              </w:rPr>
              <w:t xml:space="preserve">→  BUY</w:t>
            </w:r>
          </w:p>
        </w:tc>
      </w:tr>
    </w:tbl>
    <w:p>
      <w:pPr>
        <w:spacing w:after="0" w:before="16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433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REASONS TO BUY</w:t>
            </w:r>
          </w:p>
        </w:tc>
        <w:tc>
          <w:tcPr>
            <w:tcW w:type="dxa" w:w="3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7B1FA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UPCOMING CATALYSTS</w:t>
            </w:r>
          </w:p>
        </w:tc>
        <w:tc>
          <w:tcPr>
            <w:tcW w:type="dxa" w:w="3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B71C1C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REASONS NOT TO BUY</w:t>
            </w:r>
          </w:p>
        </w:tc>
      </w:tr>
      <w:tr>
        <w:tc>
          <w:tcPr>
            <w:tcW w:type="dxa" w:w="3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1F8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1B4332"/>
                <w:sz w:val="18"/>
                <w:szCs w:val="18"/>
              </w:rPr>
              <w:t xml:space="preserve">1.  6-inch InP moat: 20-year process advantage, impossible to replicate in 3–5 years.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B4332"/>
                <w:sz w:val="18"/>
                <w:szCs w:val="18"/>
              </w:rPr>
              <w:t xml:space="preserve">2.  NVIDIA deal: $2B equity + multi-billion purchase commitment is structural demand lock-in.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1B4332"/>
                <w:sz w:val="18"/>
                <w:szCs w:val="18"/>
              </w:rPr>
              <w:t xml:space="preserve">3.  800G → 1.6T → CPO transition: Coherent is positioned across all three laser architectures simultaneously.</w:t>
            </w:r>
          </w:p>
        </w:tc>
        <w:tc>
          <w:tcPr>
            <w:tcW w:type="dxa" w:w="3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9F0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4A148C"/>
                <w:sz w:val="18"/>
                <w:szCs w:val="18"/>
              </w:rPr>
              <w:t xml:space="preserve">FY2026 full-year results  (August 2026)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4A148C"/>
                <w:sz w:val="18"/>
                <w:szCs w:val="18"/>
              </w:rPr>
              <w:t xml:space="preserve">1.6T ramp cadence confirmation + multi-customer diversification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4A148C"/>
                <w:sz w:val="18"/>
                <w:szCs w:val="18"/>
              </w:rPr>
              <w:t xml:space="preserve">CPO design-win announcement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4A148C"/>
                <w:sz w:val="18"/>
                <w:szCs w:val="18"/>
              </w:rPr>
              <w:t xml:space="preserve">Silicon Carbide strategic optionality</w:t>
            </w:r>
          </w:p>
        </w:tc>
        <w:tc>
          <w:tcPr>
            <w:tcW w:type="dxa" w:w="336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</w:pPr>
            <w:r>
              <w:rPr>
                <w:rFonts w:ascii="Arial" w:cs="Arial" w:eastAsia="Arial" w:hAnsi="Arial"/>
                <w:color w:val="B71C1C"/>
                <w:sz w:val="18"/>
                <w:szCs w:val="18"/>
              </w:rPr>
              <w:t xml:space="preserve">1.  Valuation: 60x non-GAAP P/E leaves zero margin for execution error.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B71C1C"/>
                <w:sz w:val="18"/>
                <w:szCs w:val="18"/>
              </w:rPr>
              <w:t xml:space="preserve">2.  AI capex cycle risk: Book-to-bill of 4x can reverse sharply if hyperscaler demand pauses.</w:t>
            </w:r>
          </w:p>
          <w:p>
            <w:pPr>
              <w:spacing w:after="60" w:before="60"/>
            </w:pPr>
            <w:r>
              <w:rPr>
                <w:rFonts w:ascii="Arial" w:cs="Arial" w:eastAsia="Arial" w:hAnsi="Arial"/>
                <w:color w:val="B71C1C"/>
                <w:sz w:val="18"/>
                <w:szCs w:val="18"/>
              </w:rPr>
              <w:t xml:space="preserve">3.  GAAP vs non-GAAP gap: $3.7B debt + amortization overhang from 2022 acquisition makes GAAP story thin.</w:t>
            </w:r>
          </w:p>
        </w:tc>
      </w:tr>
    </w:tbl>
    <w:p>
      <w:pPr>
        <w:spacing w:after="0" w:before="160"/>
      </w:pPr>
    </w:p>
    <w:p>
      <w:pPr>
        <w:spacing w:after="60" w:before="120"/>
      </w:pPr>
      <w:r>
        <w:rPr>
          <w:rFonts w:ascii="Arial" w:cs="Arial" w:eastAsia="Arial" w:hAnsi="Arial"/>
          <w:b/>
          <w:bCs/>
          <w:color w:val="C8930A"/>
          <w:sz w:val="16"/>
          <w:szCs w:val="16"/>
        </w:rPr>
        <w:t xml:space="preserve">VALUATION SCENARIOS (3-YEAR)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800"/>
        <w:gridCol w:w="1800"/>
        <w:gridCol w:w="2000"/>
        <w:gridCol w:w="2480"/>
      </w:tblGrid>
      <w:tr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Scenario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Probability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Price Target</w:t>
            </w:r>
          </w:p>
        </w:tc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Implied Return</w:t>
            </w:r>
          </w:p>
        </w:tc>
        <w:tc>
          <w:tcPr>
            <w:tcW w:type="dxa" w:w="248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1B2A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Key Assumption</w:t>
            </w:r>
          </w:p>
        </w:tc>
      </w:tr>
      <w:tr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E7D32"/>
                <w:sz w:val="18"/>
                <w:szCs w:val="18"/>
              </w:rPr>
              <w:t xml:space="preserve">Bull Case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E7D32"/>
                <w:sz w:val="18"/>
                <w:szCs w:val="18"/>
              </w:rPr>
              <w:t xml:space="preserve">25%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E7D32"/>
                <w:sz w:val="18"/>
                <w:szCs w:val="18"/>
              </w:rPr>
              <w:t xml:space="preserve">$550–600</w:t>
            </w:r>
          </w:p>
        </w:tc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E7D32"/>
                <w:sz w:val="18"/>
                <w:szCs w:val="18"/>
              </w:rPr>
              <w:t xml:space="preserve">+57–71%</w:t>
            </w:r>
          </w:p>
        </w:tc>
        <w:tc>
          <w:tcPr>
            <w:tcW w:type="dxa" w:w="248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2E7D32"/>
                <w:sz w:val="18"/>
                <w:szCs w:val="18"/>
              </w:rPr>
              <w:t xml:space="preserve">CPO win at NVIDIA; 1.6T ASP holds</w:t>
            </w:r>
          </w:p>
        </w:tc>
      </w:tr>
      <w:tr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Base Case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50%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~$420</w:t>
            </w:r>
          </w:p>
        </w:tc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+~20%</w:t>
            </w:r>
          </w:p>
        </w:tc>
        <w:tc>
          <w:tcPr>
            <w:tcW w:type="dxa" w:w="248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Consensus growth; margins → 42%</w:t>
            </w:r>
          </w:p>
        </w:tc>
      </w:tr>
      <w:tr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C62828"/>
                <w:sz w:val="18"/>
                <w:szCs w:val="18"/>
              </w:rPr>
              <w:t xml:space="preserve">Bear Case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C62828"/>
                <w:sz w:val="18"/>
                <w:szCs w:val="18"/>
              </w:rPr>
              <w:t xml:space="preserve">25%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C62828"/>
                <w:sz w:val="18"/>
                <w:szCs w:val="18"/>
              </w:rPr>
              <w:t xml:space="preserve">$100–160</w:t>
            </w:r>
          </w:p>
        </w:tc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C62828"/>
                <w:sz w:val="18"/>
                <w:szCs w:val="18"/>
              </w:rPr>
              <w:t xml:space="preserve">−54–71%</w:t>
            </w:r>
          </w:p>
        </w:tc>
        <w:tc>
          <w:tcPr>
            <w:tcW w:type="dxa" w:w="248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C62828"/>
                <w:sz w:val="18"/>
                <w:szCs w:val="18"/>
              </w:rPr>
              <w:t xml:space="preserve">AI capex pause; module margin compression</w:t>
            </w:r>
          </w:p>
        </w:tc>
      </w:tr>
      <w:tr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B2A4A"/>
                <w:sz w:val="18"/>
                <w:szCs w:val="18"/>
              </w:rPr>
              <w:t xml:space="preserve">P-W Fair Value</w:t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18"/>
                <w:szCs w:val="18"/>
              </w:rPr>
              <w:t xml:space="preserve">~$390</w:t>
            </w:r>
          </w:p>
        </w:tc>
        <w:tc>
          <w:tcPr>
            <w:tcW w:type="dxa" w:w="200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2F4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18"/>
                <w:szCs w:val="18"/>
              </w:rPr>
              <w:t xml:space="preserve">+~11%</w:t>
            </w:r>
          </w:p>
        </w:tc>
        <w:tc>
          <w:tcPr>
            <w:tcW w:type="dxa" w:w="2480"/>
            <w:tcBorders>
              <w:top w:val="single" w:color="D9DDE6" w:sz="1"/>
              <w:left w:val="single" w:color="D9DDE6" w:sz="1"/>
              <w:bottom w:val="single" w:color="D9DDE6" w:sz="1"/>
              <w:right w:val="single" w:color="D9DDE6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B2A4A"/>
                <w:sz w:val="18"/>
                <w:szCs w:val="18"/>
              </w:rPr>
              <w:t xml:space="preserve">Roughly fair at ~$350; buy on dips to $270–290</w:t>
            </w:r>
          </w:p>
        </w:tc>
      </w:tr>
    </w:tbl>
    <w:p>
      <w:pPr>
        <w:spacing w:after="0" w:before="160"/>
      </w:pPr>
    </w:p>
    <w:p>
      <w:pPr>
        <w:spacing w:after="60" w:before="120"/>
      </w:pPr>
      <w:r>
        <w:rPr>
          <w:rFonts w:ascii="Arial" w:cs="Arial" w:eastAsia="Arial" w:hAnsi="Arial"/>
          <w:b/>
          <w:bCs/>
          <w:color w:val="C8930A"/>
          <w:sz w:val="16"/>
          <w:szCs w:val="16"/>
        </w:rPr>
        <w:t xml:space="preserve">WHAT WOULD CHANGE THE THESIS</w:t>
      </w:r>
    </w:p>
    <w:p>
      <w:pPr>
        <w:shd w:fill="FFFDE7" w:val="clear"/>
        <w:spacing w:after="40" w:before="60"/>
        <w:ind w:left="200" w:right="200"/>
      </w:pPr>
      <w:r>
        <w:rPr>
          <w:rFonts w:ascii="Arial" w:cs="Arial" w:eastAsia="Arial" w:hAnsi="Arial"/>
          <w:color w:val="5D4037"/>
          <w:sz w:val="18"/>
          <w:szCs w:val="18"/>
        </w:rPr>
        <w:t xml:space="preserve">1.  Hyperscaler capex guidance revision down  |  2.  1.6T gross margin disappointment (key metric to monitor)  |  3.  CPO design-win lost to competitor  |  4.  Inability to generate FCF above $800M in FY26  |  5.  Debt covenant stress</w:t>
      </w:r>
    </w:p>
    <w:p>
      <w:pPr>
        <w:spacing w:after="0" w:before="100"/>
      </w:pPr>
    </w:p>
    <w:p>
      <w:pPr>
        <w:spacing w:after="60" w:before="120"/>
      </w:pPr>
      <w:r>
        <w:rPr>
          <w:rFonts w:ascii="Arial" w:cs="Arial" w:eastAsia="Arial" w:hAnsi="Arial"/>
          <w:b/>
          <w:bCs/>
          <w:color w:val="C8930A"/>
          <w:sz w:val="16"/>
          <w:szCs w:val="16"/>
        </w:rPr>
        <w:t xml:space="preserve">SUGGESTED POSITION SIZING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1B2A4A"/>
          <w:sz w:val="20"/>
          <w:szCs w:val="20"/>
        </w:rPr>
        <w:t xml:space="preserve">High conviction portfolio: 4–6%  |  Base allocation: 2–3%  |  Opportunistic entry on pullback to $260–290: add to 5%+</w:t>
      </w:r>
    </w:p>
    <w:sectPr>
      <w:headerReference w:type="default" r:id="rId7"/>
      <w:footerReference w:type="default" r:id="rId8"/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D9DDE6" w:sz="4" w:space="1"/>
      </w:pBdr>
      <w:spacing w:after="0" w:before="0"/>
    </w:pPr>
  </w:p>
  <w:p>
    <w:pPr>
      <w:spacing w:before="80"/>
      <w:jc w:val="center"/>
    </w:pPr>
    <w:r>
      <w:rPr>
        <w:rFonts w:ascii="Arial" w:cs="Arial" w:eastAsia="Arial" w:hAnsi="Arial"/>
        <w:color w:val="999999"/>
        <w:sz w:val="14"/>
        <w:szCs w:val="14"/>
      </w:rPr>
      <w:t xml:space="preserve">For informational and content research purposes only (Curious Investing Insights). Not SEBI-registered investment advice. Do your own due diligence.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008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single" w:color="auto" w:sz="4"/>
        <w:insideV w:val="single" w:color="auto" w:sz="4"/>
      </w:tblBorders>
    </w:tblPr>
    <w:tblGrid>
      <w:gridCol w:w="6000"/>
      <w:gridCol w:w="4080"/>
    </w:tblGrid>
    <w:tr>
      <w:tc>
        <w:tcPr>
          <w:tcW w:type="dxa" w:w="6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0"/>
          </w:tcMar>
        </w:tcPr>
        <w:p>
          <w:r>
            <w:rPr>
              <w:rFonts w:ascii="Arial" w:cs="Arial" w:eastAsia="Arial" w:hAnsi="Arial"/>
              <w:b/>
              <w:bCs/>
              <w:color w:val="1B2A4A"/>
              <w:sz w:val="16"/>
              <w:szCs w:val="16"/>
            </w:rPr>
            <w:t xml:space="preserve">COHERENT CORP  |  NYSE: COHR</w:t>
          </w:r>
        </w:p>
      </w:tc>
      <w:tc>
        <w:tcPr>
          <w:tcW w:type="dxa" w:w="408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jc w:val="right"/>
          </w:pPr>
          <w:r>
            <w:rPr>
              <w:rFonts w:ascii="Arial" w:cs="Arial" w:eastAsia="Arial" w:hAnsi="Arial"/>
              <w:color w:val="888888"/>
              <w:sz w:val="14"/>
              <w:szCs w:val="14"/>
            </w:rPr>
            <w:t xml:space="preserve">CII Research  |  June 2026  |  CONFIDENTIAL</w:t>
          </w:r>
        </w:p>
      </w:tc>
    </w:tr>
  </w:tbl>
  <w:p>
    <w:pPr>
      <w:pBdr>
        <w:bottom w:val="single" w:color="C8930A" w:sz="6" w:space="1"/>
      </w:pBdr>
      <w:spacing w:after="0" w:befor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2026-06-06T07:25:32.157Z</dcterms:created>
  <dcterms:modified xsi:type="dcterms:W3CDTF">2026-06-06T07:25:32.158Z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