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pPr>
      <w:r>
        <w:rPr>
          <w:rFonts w:ascii="Arial" w:cs="Arial" w:eastAsia="Arial" w:hAnsi="Arial"/>
          <w:i w:val="false"/>
          <w:iCs w:val="false"/>
          <w:color w:val="000000"/>
          <w:sz w:val="22"/>
          <w:szCs w:val="22"/>
        </w:rPr>
        <w:t xml:space="preserve"/>
      </w:r>
    </w:p>
    <w:p>
      <w:pPr>
        <w:jc w:val="center"/>
      </w:pPr>
      <w:r>
        <w:rPr>
          <w:rFonts w:ascii="Arial" w:cs="Arial" w:eastAsia="Arial" w:hAnsi="Arial"/>
          <w:b/>
          <w:bCs/>
          <w:color w:val="2E75B6"/>
          <w:sz w:val="24"/>
          <w:szCs w:val="24"/>
        </w:rPr>
        <w:t xml:space="preserve">INSTITUTIONAL IPO RESEARCH</w:t>
      </w:r>
    </w:p>
    <w:p>
      <w:pPr>
        <w:spacing w:after="60" w:before="60"/>
      </w:pPr>
      <w:r>
        <w:rPr>
          <w:rFonts w:ascii="Arial" w:cs="Arial" w:eastAsia="Arial" w:hAnsi="Arial"/>
          <w:i w:val="false"/>
          <w:iCs w:val="false"/>
          <w:color w:val="000000"/>
          <w:sz w:val="22"/>
          <w:szCs w:val="22"/>
        </w:rPr>
        <w:t xml:space="preserve"/>
      </w:r>
    </w:p>
    <w:p>
      <w:pPr>
        <w:jc w:val="center"/>
      </w:pPr>
      <w:r>
        <w:rPr>
          <w:rFonts w:ascii="Arial" w:cs="Arial" w:eastAsia="Arial" w:hAnsi="Arial"/>
          <w:b/>
          <w:bCs/>
          <w:color w:val="1F3864"/>
          <w:sz w:val="52"/>
          <w:szCs w:val="52"/>
        </w:rPr>
        <w:t xml:space="preserve">Space Exploration Technologies Corp.</w:t>
      </w:r>
    </w:p>
    <w:p>
      <w:pPr>
        <w:jc w:val="center"/>
      </w:pPr>
      <w:r>
        <w:rPr>
          <w:rFonts w:ascii="Arial" w:cs="Arial" w:eastAsia="Arial" w:hAnsi="Arial"/>
          <w:b/>
          <w:bCs/>
          <w:color w:val="2E75B6"/>
          <w:sz w:val="32"/>
          <w:szCs w:val="32"/>
        </w:rPr>
        <w:t xml:space="preserve">(SPCX — Nasdaq)</w:t>
      </w:r>
    </w:p>
    <w:p>
      <w:pPr>
        <w:spacing w:after="80" w:before="80"/>
      </w:pPr>
      <w:r>
        <w:rPr>
          <w:rFonts w:ascii="Arial" w:cs="Arial" w:eastAsia="Arial" w:hAnsi="Arial"/>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0"/>
        <w:gridCol w:w="1870"/>
        <w:gridCol w:w="1870"/>
        <w:gridCol w:w="1870"/>
        <w:gridCol w:w="1880"/>
      </w:tblGrid>
      <w:tr>
        <w:tc>
          <w:tcPr>
            <w:tcW w:type="dxa" w:w="187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IPO Price</w:t>
            </w:r>
          </w:p>
        </w:tc>
        <w:tc>
          <w:tcPr>
            <w:tcW w:type="dxa" w:w="187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Market Cap</w:t>
            </w:r>
          </w:p>
        </w:tc>
        <w:tc>
          <w:tcPr>
            <w:tcW w:type="dxa" w:w="187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EV/Revenue</w:t>
            </w:r>
          </w:p>
        </w:tc>
        <w:tc>
          <w:tcPr>
            <w:tcW w:type="dxa" w:w="187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FY2025 Revenue</w:t>
            </w:r>
          </w:p>
        </w:tc>
        <w:tc>
          <w:tcPr>
            <w:tcW w:type="dxa" w:w="18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Recommendation</w:t>
            </w:r>
          </w:p>
        </w:tc>
      </w:tr>
      <w:tr>
        <w:tc>
          <w:tcPr>
            <w:tcW w:type="dxa" w:w="1870"/>
            <w:tcBorders>
              <w:top w:val="single" w:color="CCCCCC" w:sz="1"/>
              <w:left w:val="single" w:color="CCCCCC" w:sz="1"/>
              <w:bottom w:val="single" w:color="CCCCCC" w:sz="1"/>
              <w:right w:val="single" w:color="CCCCCC" w:sz="1"/>
            </w:tcBorders>
            <w:shd w:fill="D6E4F0"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$135.00</w:t>
            </w:r>
          </w:p>
        </w:tc>
        <w:tc>
          <w:tcPr>
            <w:tcW w:type="dxa" w:w="1870"/>
            <w:tcBorders>
              <w:top w:val="single" w:color="CCCCCC" w:sz="1"/>
              <w:left w:val="single" w:color="CCCCCC" w:sz="1"/>
              <w:bottom w:val="single" w:color="CCCCCC" w:sz="1"/>
              <w:right w:val="single" w:color="CCCCCC" w:sz="1"/>
            </w:tcBorders>
            <w:shd w:fill="D6E4F0"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~$1.77T</w:t>
            </w:r>
          </w:p>
        </w:tc>
        <w:tc>
          <w:tcPr>
            <w:tcW w:type="dxa" w:w="1870"/>
            <w:tcBorders>
              <w:top w:val="single" w:color="CCCCCC" w:sz="1"/>
              <w:left w:val="single" w:color="CCCCCC" w:sz="1"/>
              <w:bottom w:val="single" w:color="CCCCCC" w:sz="1"/>
              <w:right w:val="single" w:color="CCCCCC" w:sz="1"/>
            </w:tcBorders>
            <w:shd w:fill="D6E4F0"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94.6x</w:t>
            </w:r>
          </w:p>
        </w:tc>
        <w:tc>
          <w:tcPr>
            <w:tcW w:type="dxa" w:w="1870"/>
            <w:tcBorders>
              <w:top w:val="single" w:color="CCCCCC" w:sz="1"/>
              <w:left w:val="single" w:color="CCCCCC" w:sz="1"/>
              <w:bottom w:val="single" w:color="CCCCCC" w:sz="1"/>
              <w:right w:val="single" w:color="CCCCCC" w:sz="1"/>
            </w:tcBorders>
            <w:shd w:fill="D6E4F0"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$18.7B</w:t>
            </w:r>
          </w:p>
        </w:tc>
        <w:tc>
          <w:tcPr>
            <w:tcW w:type="dxa" w:w="1880"/>
            <w:tcBorders>
              <w:top w:val="single" w:color="CCCCCC" w:sz="1"/>
              <w:left w:val="single" w:color="CCCCCC" w:sz="1"/>
              <w:bottom w:val="single" w:color="CCCCCC" w:sz="1"/>
              <w:right w:val="single" w:color="CCCCCC" w:sz="1"/>
            </w:tcBorders>
            <w:shd w:fill="D6E4F0"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NEUTRAL / AVOID</w:t>
            </w:r>
          </w:p>
        </w:tc>
      </w:tr>
    </w:tbl>
    <w:p>
      <w:pPr>
        <w:spacing w:after="80" w:before="80"/>
      </w:pPr>
      <w:r>
        <w:rPr>
          <w:rFonts w:ascii="Arial" w:cs="Arial" w:eastAsia="Arial" w:hAnsi="Arial"/>
          <w:i w:val="false"/>
          <w:iCs w:val="false"/>
          <w:color w:val="000000"/>
          <w:sz w:val="22"/>
          <w:szCs w:val="22"/>
        </w:rPr>
        <w:t xml:space="preserve"/>
      </w:r>
    </w:p>
    <w:p>
      <w:pPr>
        <w:jc w:val="center"/>
      </w:pPr>
      <w:r>
        <w:rPr>
          <w:rFonts w:ascii="Arial" w:cs="Arial" w:eastAsia="Arial" w:hAnsi="Arial"/>
          <w:b/>
          <w:bCs/>
          <w:color w:val="C00000"/>
          <w:sz w:val="36"/>
          <w:szCs w:val="36"/>
        </w:rPr>
        <w:t xml:space="preserve">OVERALL IPO RATING: 5.5 / 10</w:t>
      </w:r>
    </w:p>
    <w:p>
      <w:pPr>
        <w:spacing w:after="80" w:before="80"/>
      </w:pPr>
      <w:r>
        <w:rPr>
          <w:rFonts w:ascii="Arial" w:cs="Arial" w:eastAsia="Arial" w:hAnsi="Arial"/>
          <w:i w:val="false"/>
          <w:iCs w:val="false"/>
          <w:color w:val="000000"/>
          <w:sz w:val="22"/>
          <w:szCs w:val="22"/>
        </w:rPr>
        <w:t xml:space="preserve"/>
      </w:r>
    </w:p>
    <w:p>
      <w:pPr>
        <w:jc w:val="center"/>
      </w:pPr>
      <w:r>
        <w:rPr>
          <w:rFonts w:ascii="Arial" w:cs="Arial" w:eastAsia="Arial" w:hAnsi="Arial"/>
          <w:i/>
          <w:iCs/>
          <w:color w:val="595959"/>
          <w:sz w:val="20"/>
          <w:szCs w:val="20"/>
        </w:rPr>
        <w:t xml:space="preserve">Prepared by: Curious Investing Insights  |  June 7, 2026</w:t>
      </w:r>
    </w:p>
    <w:p>
      <w:pPr>
        <w:jc w:val="center"/>
      </w:pPr>
      <w:r>
        <w:rPr>
          <w:rFonts w:ascii="Arial" w:cs="Arial" w:eastAsia="Arial" w:hAnsi="Arial"/>
          <w:i/>
          <w:iCs/>
          <w:color w:val="595959"/>
          <w:sz w:val="18"/>
          <w:szCs w:val="18"/>
        </w:rPr>
        <w:t xml:space="preserve">Sources: SpaceX Preliminary Prospectus (June 3, 2026)  |  Damodaran Valuation Analysis (Apr–Jun 2026)</w:t>
      </w:r>
    </w:p>
    <w:p>
      <w:pPr>
        <w:jc w:val="center"/>
      </w:pPr>
      <w:r>
        <w:rPr>
          <w:rFonts w:ascii="Arial" w:cs="Arial" w:eastAsia="Arial" w:hAnsi="Arial"/>
          <w:i/>
          <w:iCs/>
          <w:color w:val="C00000"/>
          <w:sz w:val="18"/>
          <w:szCs w:val="18"/>
        </w:rPr>
        <w:t xml:space="preserve">DISCLAIMER: This report is for informational and educational purposes only. It does not constitute investment advice.</w:t>
      </w:r>
    </w:p>
    <w:p>
      <w:r>
        <w:br w:type="page"/>
      </w:r>
    </w:p>
    <w:p>
      <w:pPr>
        <w:pStyle w:val="Heading1"/>
        <w:shd w:fill="1F3864" w:val="clear"/>
        <w:spacing w:after="120" w:before="240"/>
      </w:pPr>
      <w:r>
        <w:rPr>
          <w:rFonts w:ascii="Arial" w:cs="Arial" w:eastAsia="Arial" w:hAnsi="Arial"/>
          <w:b/>
          <w:bCs/>
          <w:color w:val="FFFFFF"/>
          <w:sz w:val="36"/>
          <w:szCs w:val="36"/>
        </w:rPr>
        <w:t xml:space="preserve">1. Executive Summary</w:t>
      </w:r>
    </w:p>
    <w:p>
      <w:pPr>
        <w:pStyle w:val="Heading2"/>
        <w:pBdr>
          <w:bottom w:val="single" w:color="2E75B6" w:sz="4"/>
        </w:pBdr>
        <w:spacing w:after="100" w:before="200"/>
      </w:pPr>
      <w:r>
        <w:rPr>
          <w:rFonts w:ascii="Arial" w:cs="Arial" w:eastAsia="Arial" w:hAnsi="Arial"/>
          <w:b/>
          <w:bCs/>
          <w:color w:val="1F3864"/>
          <w:sz w:val="28"/>
          <w:szCs w:val="28"/>
        </w:rPr>
        <w:t xml:space="preserve">What Does the Company Do?</w:t>
      </w:r>
    </w:p>
    <w:p>
      <w:pPr>
        <w:spacing w:after="160"/>
      </w:pPr>
      <w:r>
        <w:rPr>
          <w:rFonts w:ascii="Arial" w:cs="Arial" w:eastAsia="Arial" w:hAnsi="Arial"/>
          <w:i w:val="false"/>
          <w:iCs w:val="false"/>
          <w:color w:val="000000"/>
          <w:sz w:val="20"/>
          <w:szCs w:val="20"/>
        </w:rPr>
        <w:t xml:space="preserve">Space Exploration Technologies Corp. (SpaceX), founded in 2002 by Elon Musk, is the world's most vertically integrated aerospace and technology company. It operates three business segments: (1) Space — design, manufacture, and launch of reusable rockets (Falcon 9, Falcon Heavy, Starship); (2) Connectivity — the Starlink global satellite broadband network serving 10.3 million subscribers across 164 countries; and (3) AI — the xAI platform (acquired February 2026), comprising Grok LLM, X (formerly Twitter), and the Colossus/Colossus II AI compute clusters. SpaceX has completed ~650 orbital launches with a &gt;99% mission success rate and operates ~9,600 satellites representing ~75% of all active maneuverable satellites globally.</w:t>
      </w:r>
    </w:p>
    <w:p>
      <w:pPr>
        <w:pStyle w:val="Heading2"/>
        <w:pBdr>
          <w:bottom w:val="single" w:color="2E75B6" w:sz="4"/>
        </w:pBdr>
        <w:spacing w:after="100" w:before="200"/>
      </w:pPr>
      <w:r>
        <w:rPr>
          <w:rFonts w:ascii="Arial" w:cs="Arial" w:eastAsia="Arial" w:hAnsi="Arial"/>
          <w:b/>
          <w:bCs/>
          <w:color w:val="1F3864"/>
          <w:sz w:val="28"/>
          <w:szCs w:val="28"/>
        </w:rPr>
        <w:t xml:space="preserve">Key Strengths</w:t>
      </w:r>
    </w:p>
    <w:p>
      <w:pPr>
        <w:pStyle w:val="ListParagraph"/>
        <w:numPr>
          <w:ilvl w:val="0"/>
          <w:numId w:val="2"/>
        </w:numPr>
        <w:spacing w:after="80"/>
      </w:pPr>
      <w:r>
        <w:rPr>
          <w:rFonts w:ascii="Arial" w:cs="Arial" w:eastAsia="Arial" w:hAnsi="Arial"/>
          <w:i w:val="false"/>
          <w:iCs w:val="false"/>
          <w:color w:val="000000"/>
          <w:sz w:val="20"/>
          <w:szCs w:val="20"/>
        </w:rPr>
        <w:t xml:space="preserve">Dominant 80%+ share of global orbital launch market with structural cost advantage via reusable rocketry</w:t>
      </w:r>
    </w:p>
    <w:p>
      <w:pPr>
        <w:pStyle w:val="ListParagraph"/>
        <w:numPr>
          <w:ilvl w:val="0"/>
          <w:numId w:val="2"/>
        </w:numPr>
        <w:spacing w:after="80"/>
      </w:pPr>
      <w:r>
        <w:rPr>
          <w:rFonts w:ascii="Arial" w:cs="Arial" w:eastAsia="Arial" w:hAnsi="Arial"/>
          <w:i w:val="false"/>
          <w:iCs w:val="false"/>
          <w:color w:val="000000"/>
          <w:sz w:val="20"/>
          <w:szCs w:val="20"/>
        </w:rPr>
        <w:t xml:space="preserve">Starlink generating $11.4B revenue in FY2025, growing 49.8% YoY, with 62.9% Segment Adjusted EBITDA margin</w:t>
      </w:r>
    </w:p>
    <w:p>
      <w:pPr>
        <w:pStyle w:val="ListParagraph"/>
        <w:numPr>
          <w:ilvl w:val="0"/>
          <w:numId w:val="2"/>
        </w:numPr>
        <w:spacing w:after="80"/>
      </w:pPr>
      <w:r>
        <w:rPr>
          <w:rFonts w:ascii="Arial" w:cs="Arial" w:eastAsia="Arial" w:hAnsi="Arial"/>
          <w:i w:val="false"/>
          <w:iCs w:val="false"/>
          <w:color w:val="000000"/>
          <w:sz w:val="20"/>
          <w:szCs w:val="20"/>
        </w:rPr>
        <w:t xml:space="preserve">Unmatched vertical integration from chip/satellite manufacturing to launch to broadband operations</w:t>
      </w:r>
    </w:p>
    <w:p>
      <w:pPr>
        <w:pStyle w:val="ListParagraph"/>
        <w:numPr>
          <w:ilvl w:val="0"/>
          <w:numId w:val="2"/>
        </w:numPr>
        <w:spacing w:after="80"/>
      </w:pPr>
      <w:r>
        <w:rPr>
          <w:rFonts w:ascii="Arial" w:cs="Arial" w:eastAsia="Arial" w:hAnsi="Arial"/>
          <w:i w:val="false"/>
          <w:iCs w:val="false"/>
          <w:color w:val="000000"/>
          <w:sz w:val="20"/>
          <w:szCs w:val="20"/>
        </w:rPr>
        <w:t xml:space="preserve">First-mover with 10-year technology lead in reusable rockets; Falcon 9 booster reflown up to 34 times</w:t>
      </w:r>
    </w:p>
    <w:p>
      <w:pPr>
        <w:pStyle w:val="ListParagraph"/>
        <w:numPr>
          <w:ilvl w:val="0"/>
          <w:numId w:val="2"/>
        </w:numPr>
        <w:spacing w:after="80"/>
      </w:pPr>
      <w:r>
        <w:rPr>
          <w:rFonts w:ascii="Arial" w:cs="Arial" w:eastAsia="Arial" w:hAnsi="Arial"/>
          <w:i w:val="false"/>
          <w:iCs w:val="false"/>
          <w:color w:val="000000"/>
          <w:sz w:val="20"/>
          <w:szCs w:val="20"/>
        </w:rPr>
        <w:t xml:space="preserve">$24.7B cash on hand pre-IPO; $74.4B net IPO proceeds to fund next growth phase</w:t>
      </w:r>
    </w:p>
    <w:p>
      <w:pPr>
        <w:pStyle w:val="ListParagraph"/>
        <w:numPr>
          <w:ilvl w:val="0"/>
          <w:numId w:val="2"/>
        </w:numPr>
        <w:spacing w:after="80"/>
      </w:pPr>
      <w:r>
        <w:rPr>
          <w:rFonts w:ascii="Arial" w:cs="Arial" w:eastAsia="Arial" w:hAnsi="Arial"/>
          <w:i w:val="false"/>
          <w:iCs w:val="false"/>
          <w:color w:val="000000"/>
          <w:sz w:val="20"/>
          <w:szCs w:val="20"/>
        </w:rPr>
        <w:t xml:space="preserve">Option value in Starship (fully reusable, 100MT payload) which could reduce orbit access cost by 99%+</w:t>
      </w:r>
    </w:p>
    <w:p>
      <w:pPr>
        <w:pStyle w:val="Heading2"/>
        <w:pBdr>
          <w:bottom w:val="single" w:color="2E75B6" w:sz="4"/>
        </w:pBdr>
        <w:spacing w:after="100" w:before="200"/>
      </w:pPr>
      <w:r>
        <w:rPr>
          <w:rFonts w:ascii="Arial" w:cs="Arial" w:eastAsia="Arial" w:hAnsi="Arial"/>
          <w:b/>
          <w:bCs/>
          <w:color w:val="1F3864"/>
          <w:sz w:val="28"/>
          <w:szCs w:val="28"/>
        </w:rPr>
        <w:t xml:space="preserve">Key Concerns</w:t>
      </w:r>
    </w:p>
    <w:p>
      <w:pPr>
        <w:pStyle w:val="ListParagraph"/>
        <w:numPr>
          <w:ilvl w:val="0"/>
          <w:numId w:val="2"/>
        </w:numPr>
        <w:spacing w:after="80"/>
      </w:pPr>
      <w:r>
        <w:rPr>
          <w:rFonts w:ascii="Arial" w:cs="Arial" w:eastAsia="Arial" w:hAnsi="Arial"/>
          <w:i w:val="false"/>
          <w:iCs w:val="false"/>
          <w:color w:val="000000"/>
          <w:sz w:val="20"/>
          <w:szCs w:val="20"/>
        </w:rPr>
        <w:t xml:space="preserve">IPO priced at ~$1.77 trillion market cap vs. Damodaran intrinsic value of ~$1.25–1.30T — implies 35–40% overvaluation</w:t>
      </w:r>
    </w:p>
    <w:p>
      <w:pPr>
        <w:pStyle w:val="ListParagraph"/>
        <w:numPr>
          <w:ilvl w:val="0"/>
          <w:numId w:val="2"/>
        </w:numPr>
        <w:spacing w:after="80"/>
      </w:pPr>
      <w:r>
        <w:rPr>
          <w:rFonts w:ascii="Arial" w:cs="Arial" w:eastAsia="Arial" w:hAnsi="Arial"/>
          <w:i w:val="false"/>
          <w:iCs w:val="false"/>
          <w:color w:val="000000"/>
          <w:sz w:val="20"/>
          <w:szCs w:val="20"/>
        </w:rPr>
        <w:t xml:space="preserve">Dual-class share structure: Musk controls 82.4% of votes post-IPO; minority shareholders have zero effective governance power</w:t>
      </w:r>
    </w:p>
    <w:p>
      <w:pPr>
        <w:pStyle w:val="ListParagraph"/>
        <w:numPr>
          <w:ilvl w:val="0"/>
          <w:numId w:val="2"/>
        </w:numPr>
        <w:spacing w:after="80"/>
      </w:pPr>
      <w:r>
        <w:rPr>
          <w:rFonts w:ascii="Arial" w:cs="Arial" w:eastAsia="Arial" w:hAnsi="Arial"/>
          <w:i w:val="false"/>
          <w:iCs w:val="false"/>
          <w:color w:val="000000"/>
          <w:sz w:val="20"/>
          <w:szCs w:val="20"/>
        </w:rPr>
        <w:t xml:space="preserve">xAI segment: $6.4B operating loss in FY2025, $14.2B capex+R&amp;D; Grok lags ChatGPT, Claude, and Gemini in enterprise adoption</w:t>
      </w:r>
    </w:p>
    <w:p>
      <w:pPr>
        <w:pStyle w:val="ListParagraph"/>
        <w:numPr>
          <w:ilvl w:val="0"/>
          <w:numId w:val="2"/>
        </w:numPr>
        <w:spacing w:after="80"/>
      </w:pPr>
      <w:r>
        <w:rPr>
          <w:rFonts w:ascii="Arial" w:cs="Arial" w:eastAsia="Arial" w:hAnsi="Arial"/>
          <w:i w:val="false"/>
          <w:iCs w:val="false"/>
          <w:color w:val="000000"/>
          <w:sz w:val="20"/>
          <w:szCs w:val="20"/>
        </w:rPr>
        <w:t xml:space="preserve">Massively negative free cash flow: FCF of -$13.95B in FY2025 (CFO $6.8B minus capex $20.7B)</w:t>
      </w:r>
    </w:p>
    <w:p>
      <w:pPr>
        <w:pStyle w:val="ListParagraph"/>
        <w:numPr>
          <w:ilvl w:val="0"/>
          <w:numId w:val="2"/>
        </w:numPr>
        <w:spacing w:after="80"/>
      </w:pPr>
      <w:r>
        <w:rPr>
          <w:rFonts w:ascii="Arial" w:cs="Arial" w:eastAsia="Arial" w:hAnsi="Arial"/>
          <w:i w:val="false"/>
          <w:iCs w:val="false"/>
          <w:color w:val="000000"/>
          <w:sz w:val="20"/>
          <w:szCs w:val="20"/>
        </w:rPr>
        <w:t xml:space="preserve">AI capex trajectory is alarming: $7.7B in Q1 2026 alone vs. $12.7B for full FY2025 — accelerating burn</w:t>
      </w:r>
    </w:p>
    <w:p>
      <w:pPr>
        <w:pStyle w:val="ListParagraph"/>
        <w:numPr>
          <w:ilvl w:val="0"/>
          <w:numId w:val="2"/>
        </w:numPr>
        <w:spacing w:after="80"/>
      </w:pPr>
      <w:r>
        <w:rPr>
          <w:rFonts w:ascii="Arial" w:cs="Arial" w:eastAsia="Arial" w:hAnsi="Arial"/>
          <w:i w:val="false"/>
          <w:iCs w:val="false"/>
          <w:color w:val="000000"/>
          <w:sz w:val="20"/>
          <w:szCs w:val="20"/>
        </w:rPr>
        <w:t xml:space="preserve">Key-person concentration: company is existentially dependent on Elon Musk; no succession plan disclosed</w:t>
      </w:r>
    </w:p>
    <w:p>
      <w:pPr>
        <w:pStyle w:val="ListParagraph"/>
        <w:numPr>
          <w:ilvl w:val="0"/>
          <w:numId w:val="2"/>
        </w:numPr>
        <w:spacing w:after="80"/>
      </w:pPr>
      <w:r>
        <w:rPr>
          <w:rFonts w:ascii="Arial" w:cs="Arial" w:eastAsia="Arial" w:hAnsi="Arial"/>
          <w:i w:val="false"/>
          <w:iCs w:val="false"/>
          <w:color w:val="000000"/>
          <w:sz w:val="20"/>
          <w:szCs w:val="20"/>
        </w:rPr>
        <w:t xml:space="preserve">Consolidated net loss of $4.94B in FY2025 despite strong Connectivity segment profitability</w:t>
      </w:r>
    </w:p>
    <w:p>
      <w:pPr>
        <w:pStyle w:val="ListParagraph"/>
        <w:numPr>
          <w:ilvl w:val="0"/>
          <w:numId w:val="2"/>
        </w:numPr>
        <w:spacing w:after="80"/>
      </w:pPr>
      <w:r>
        <w:rPr>
          <w:rFonts w:ascii="Arial" w:cs="Arial" w:eastAsia="Arial" w:hAnsi="Arial"/>
          <w:i w:val="false"/>
          <w:iCs w:val="false"/>
          <w:color w:val="000000"/>
          <w:sz w:val="20"/>
          <w:szCs w:val="20"/>
        </w:rPr>
        <w:t xml:space="preserve">Colossus leased to Anthropic (a direct competitor of Grok) for $1.25B/month — strategic conflict of interest</w:t>
      </w:r>
    </w:p>
    <w:p>
      <w:pPr>
        <w:pStyle w:val="Heading2"/>
        <w:pBdr>
          <w:bottom w:val="single" w:color="2E75B6" w:sz="4"/>
        </w:pBdr>
        <w:spacing w:after="100" w:before="200"/>
      </w:pPr>
      <w:r>
        <w:rPr>
          <w:rFonts w:ascii="Arial" w:cs="Arial" w:eastAsia="Arial" w:hAnsi="Arial"/>
          <w:b/>
          <w:bCs/>
          <w:color w:val="1F3864"/>
          <w:sz w:val="28"/>
          <w:szCs w:val="28"/>
        </w:rPr>
        <w:t xml:space="preserve">IPO Structure</w:t>
      </w:r>
    </w:p>
    <w:p>
      <w:pPr>
        <w:spacing w:after="160"/>
      </w:pPr>
      <w:r>
        <w:rPr>
          <w:rFonts w:ascii="Arial" w:cs="Arial" w:eastAsia="Arial" w:hAnsi="Arial"/>
          <w:i w:val="false"/>
          <w:iCs w:val="false"/>
          <w:color w:val="000000"/>
          <w:sz w:val="20"/>
          <w:szCs w:val="20"/>
        </w:rPr>
        <w:t xml:space="preserve">SpaceX is offering 555,555,555 shares of Class A common stock at $135.00 per share, raising approximately $74.4B in net proceeds. All shares are from a fresh issue — there is no Offer for Sale (OFS) component. The underwriters hold an option to purchase an additional 83.3M shares. The offering is 100% primary, which is a positive signal. The proceeds are earmarked for AI compute infrastructure, launch infrastructure, satellite constellation expansion, and general corporate purposes.</w:t>
      </w:r>
    </w:p>
    <w:p>
      <w:pPr>
        <w:pStyle w:val="Heading2"/>
        <w:pBdr>
          <w:bottom w:val="single" w:color="2E75B6" w:sz="4"/>
        </w:pBdr>
        <w:spacing w:after="100" w:before="200"/>
      </w:pPr>
      <w:r>
        <w:rPr>
          <w:rFonts w:ascii="Arial" w:cs="Arial" w:eastAsia="Arial" w:hAnsi="Arial"/>
          <w:b/>
          <w:bCs/>
          <w:color w:val="1F3864"/>
          <w:sz w:val="28"/>
          <w:szCs w:val="28"/>
        </w:rPr>
        <w:t xml:space="preserve">Valuation Attractiveness</w:t>
      </w:r>
    </w:p>
    <w:p>
      <w:pPr>
        <w:spacing w:after="160"/>
      </w:pPr>
      <w:r>
        <w:rPr>
          <w:rFonts w:ascii="Arial" w:cs="Arial" w:eastAsia="Arial" w:hAnsi="Arial"/>
          <w:i w:val="false"/>
          <w:iCs w:val="false"/>
          <w:color w:val="000000"/>
          <w:sz w:val="20"/>
          <w:szCs w:val="20"/>
        </w:rPr>
        <w:t xml:space="preserve">At $135/share the company is priced at ~$1.77 trillion market cap (~$1.77T enterprise value, net cash). This implies EV/Revenue of 94.6x FY2025 and EV/Adj. EBITDA of 268.8x — nosebleed multiples that leave almost no margin of safety. Prof. Aswath Damodaran's post-prospectus DCF values SpaceX equity at $1.25–1.30T (including IPO proceeds), implying a per-share intrinsic value of ~$100 vs. the $135 offering price. The stock needs to grow significantly into its valuation.</w:t>
      </w:r>
    </w:p>
    <w:p>
      <w:pPr>
        <w:pStyle w:val="Heading2"/>
        <w:pBdr>
          <w:bottom w:val="single" w:color="2E75B6" w:sz="4"/>
        </w:pBdr>
        <w:spacing w:after="100" w:before="200"/>
      </w:pPr>
      <w:r>
        <w:rPr>
          <w:rFonts w:ascii="Arial" w:cs="Arial" w:eastAsia="Arial" w:hAnsi="Arial"/>
          <w:b/>
          <w:bCs/>
          <w:color w:val="1F3864"/>
          <w:sz w:val="28"/>
          <w:szCs w:val="28"/>
        </w:rPr>
        <w:t xml:space="preserve">Investment Thesis</w:t>
      </w:r>
    </w:p>
    <w:p>
      <w:pPr>
        <w:spacing w:after="160"/>
      </w:pPr>
      <w:r>
        <w:rPr>
          <w:rFonts w:ascii="Arial" w:cs="Arial" w:eastAsia="Arial" w:hAnsi="Arial"/>
          <w:i w:val="false"/>
          <w:iCs w:val="false"/>
          <w:color w:val="000000"/>
          <w:sz w:val="20"/>
          <w:szCs w:val="20"/>
        </w:rPr>
        <w:t xml:space="preserve">SpaceX occupies a genuinely unique position at the intersection of three high-growth megatrends — space access, global connectivity, and artificial intelligence. Starlink's unit economics are exceptional (&gt;60% EBITDA margins) and subscriber growth is explosive. The Space business has structural moats that no competitor can replicate within a decade. However, the IPO pricing embeds all of this optimism and more. The xAI segment is a high-risk, capital-intensive bet where SpaceX enters a fiercely competitive market dominated by OpenAI, Anthropic, and Google, from a position of relative weakness. The governance structure — where Musk holds 82.4% voting control, draws $54K in annual salary while extracting massive option grants, and simultaneously runs Tesla, X, DOGE, and The Boring Company — is a material risk that institutional investors must price.</w:t>
      </w:r>
    </w:p>
    <w:p>
      <w:pPr>
        <w:pStyle w:val="Heading2"/>
        <w:pBdr>
          <w:bottom w:val="single" w:color="2E75B6" w:sz="4"/>
        </w:pBdr>
        <w:spacing w:after="100" w:before="200"/>
      </w:pPr>
      <w:r>
        <w:rPr>
          <w:rFonts w:ascii="Arial" w:cs="Arial" w:eastAsia="Arial" w:hAnsi="Arial"/>
          <w:b/>
          <w:bCs/>
          <w:color w:val="1F3864"/>
          <w:sz w:val="28"/>
          <w:szCs w:val="28"/>
        </w:rPr>
        <w:t xml:space="preserve">Final Verdict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Category</w:t>
            </w:r>
          </w:p>
        </w:tc>
        <w:tc>
          <w:tcPr>
            <w:tcW w:type="dxa" w:w="702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Assessment</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Business Quality</w:t>
            </w:r>
          </w:p>
        </w:tc>
        <w:tc>
          <w:tcPr>
            <w:tcW w:type="dxa" w:w="70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Exceptional (Space + Connectivity). AI segment nascent and capital-destructive.</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Growth Potential</w:t>
            </w:r>
          </w:p>
        </w:tc>
        <w:tc>
          <w:tcPr>
            <w:tcW w:type="dxa" w:w="70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Very High — Starlink TAM is enormous; Starship is a game-changer if operational at scale.</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Financial Strength</w:t>
            </w:r>
          </w:p>
        </w:tc>
        <w:tc>
          <w:tcPr>
            <w:tcW w:type="dxa" w:w="70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Mixed — Connectivity highly profitable; AI a cash furnace; consolidated FCF deeply negative.</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Governance</w:t>
            </w:r>
          </w:p>
        </w:tc>
        <w:tc>
          <w:tcPr>
            <w:tcW w:type="dxa" w:w="70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Weak — Dual-class structure, Musk concentration, controlled-company exemptions, related-party complexity.</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Valuation</w:t>
            </w:r>
          </w:p>
        </w:tc>
        <w:tc>
          <w:tcPr>
            <w:tcW w:type="dxa" w:w="70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Expensive — 35-40% above intrinsic value at $135/share. No margin of safety for public market investors.</w:t>
            </w:r>
          </w:p>
        </w:tc>
      </w:tr>
      <w:tr>
        <w:tc>
          <w:tcPr>
            <w:tcW w:type="dxa" w:w="234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VERDICT</w:t>
            </w:r>
          </w:p>
        </w:tc>
        <w:tc>
          <w:tcPr>
            <w:tcW w:type="dxa" w:w="7020"/>
            <w:tcBorders>
              <w:top w:val="single" w:color="CCCCCC" w:sz="1"/>
              <w:left w:val="single" w:color="CCCCCC" w:sz="1"/>
              <w:bottom w:val="single" w:color="CCCCCC" w:sz="1"/>
              <w:right w:val="single" w:color="CCCCCC" w:sz="1"/>
            </w:tcBorders>
            <w:shd w:fill="C00000" w:val="clear"/>
            <w:tcMar>
              <w:top w:type="dxa" w:w="80"/>
              <w:left w:type="dxa" w:w="100"/>
              <w:bottom w:type="dxa" w:w="80"/>
              <w:right w:type="dxa" w:w="100"/>
            </w:tcMar>
            <w:vAlign w:val="center"/>
          </w:tcPr>
          <w:p>
            <w:pPr>
              <w:jc w:val="left"/>
            </w:pPr>
            <w:r>
              <w:rPr>
                <w:rFonts w:ascii="Arial" w:cs="Arial" w:eastAsia="Arial" w:hAnsi="Arial"/>
                <w:b/>
                <w:bCs/>
                <w:color w:val="FFFFFF"/>
                <w:sz w:val="18"/>
                <w:szCs w:val="18"/>
              </w:rPr>
              <w:t xml:space="preserve">NEUTRAL / AVOID at IPO Price. Buy on correction to $90–105 range.</w:t>
            </w:r>
          </w:p>
        </w:tc>
      </w:tr>
    </w:tbl>
    <w:p>
      <w:pPr>
        <w:spacing w:after="120" w:before="120"/>
      </w:pPr>
      <w:r>
        <w:rPr>
          <w:rFonts w:ascii="Arial" w:cs="Arial" w:eastAsia="Arial" w:hAnsi="Arial"/>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1500"/>
        <w:gridCol w:w="4360"/>
      </w:tblGrid>
      <w:tr>
        <w:tc>
          <w:tcPr>
            <w:tcW w:type="dxa" w:w="3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Rating Category</w:t>
            </w:r>
          </w:p>
        </w:tc>
        <w:tc>
          <w:tcPr>
            <w:tcW w:type="dxa" w:w="1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Score</w:t>
            </w:r>
          </w:p>
        </w:tc>
        <w:tc>
          <w:tcPr>
            <w:tcW w:type="dxa" w:w="43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Visual</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Business Quality</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375623"/>
                <w:sz w:val="18"/>
                <w:szCs w:val="18"/>
              </w:rPr>
              <w:t xml:space="preserve">8/10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Financial Strength</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7F6000"/>
                <w:sz w:val="18"/>
                <w:szCs w:val="18"/>
              </w:rPr>
              <w:t xml:space="preserve">5/10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7F6000"/>
                <w:sz w:val="18"/>
                <w:szCs w:val="18"/>
              </w:rPr>
              <w:t xml:space="preserv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Corporate Governance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3/10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Valuation Attractiveness</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3/10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Overall IPO Rating</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7F6000"/>
                <w:sz w:val="18"/>
                <w:szCs w:val="18"/>
              </w:rPr>
              <w:t xml:space="preserve">5/10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7F6000"/>
                <w:sz w:val="18"/>
                <w:szCs w:val="18"/>
              </w:rPr>
              <w:t xml:space="preserve">█████░░░░░</w:t>
            </w:r>
          </w:p>
        </w:tc>
      </w:tr>
    </w:tbl>
    <w:p>
      <w:r>
        <w:br w:type="page"/>
      </w:r>
    </w:p>
    <w:p>
      <w:pPr>
        <w:pStyle w:val="Heading1"/>
        <w:shd w:fill="1F3864" w:val="clear"/>
        <w:spacing w:after="120" w:before="240"/>
      </w:pPr>
      <w:r>
        <w:rPr>
          <w:rFonts w:ascii="Arial" w:cs="Arial" w:eastAsia="Arial" w:hAnsi="Arial"/>
          <w:b/>
          <w:bCs/>
          <w:color w:val="FFFFFF"/>
          <w:sz w:val="36"/>
          <w:szCs w:val="36"/>
        </w:rPr>
        <w:t xml:space="preserve">2. Business Overview</w:t>
      </w:r>
    </w:p>
    <w:p>
      <w:pPr>
        <w:pStyle w:val="Heading2"/>
        <w:pBdr>
          <w:bottom w:val="single" w:color="2E75B6" w:sz="4"/>
        </w:pBdr>
        <w:spacing w:after="100" w:before="200"/>
      </w:pPr>
      <w:r>
        <w:rPr>
          <w:rFonts w:ascii="Arial" w:cs="Arial" w:eastAsia="Arial" w:hAnsi="Arial"/>
          <w:b/>
          <w:bCs/>
          <w:color w:val="1F3864"/>
          <w:sz w:val="28"/>
          <w:szCs w:val="28"/>
        </w:rPr>
        <w:t xml:space="preserve">Company Description</w:t>
      </w:r>
    </w:p>
    <w:p>
      <w:pPr>
        <w:spacing w:after="160"/>
      </w:pPr>
      <w:r>
        <w:rPr>
          <w:rFonts w:ascii="Arial" w:cs="Arial" w:eastAsia="Arial" w:hAnsi="Arial"/>
          <w:i w:val="false"/>
          <w:iCs w:val="false"/>
          <w:color w:val="000000"/>
          <w:sz w:val="20"/>
          <w:szCs w:val="20"/>
        </w:rPr>
        <w:t xml:space="preserve">Space Exploration Technologies Corp. ("SpaceX") was incorporated in Delaware on March 14, 2002 and redomiciled to Texas in February 2024. The company is headquartered in Starbase, Texas and employs tens of thousands of engineers, technicians, and scientists worldwide. Its mission is to make humanity multiplanetary. SpaceX operates through three reportable segments: Space, Connectivity, and AI (the latter consolidated following the xAI merger in February 2026).</w:t>
      </w:r>
    </w:p>
    <w:p>
      <w:pPr>
        <w:pStyle w:val="Heading3"/>
        <w:spacing w:after="80" w:before="160"/>
      </w:pPr>
      <w:r>
        <w:rPr>
          <w:rFonts w:ascii="Arial" w:cs="Arial" w:eastAsia="Arial" w:hAnsi="Arial"/>
          <w:b/>
          <w:bCs/>
          <w:color w:val="2E75B6"/>
          <w:sz w:val="24"/>
          <w:szCs w:val="24"/>
        </w:rPr>
        <w:t xml:space="preserve">Segment 1 — Space (Launch Business)</w:t>
      </w:r>
    </w:p>
    <w:p>
      <w:pPr>
        <w:spacing w:after="160"/>
      </w:pPr>
      <w:r>
        <w:rPr>
          <w:rFonts w:ascii="Arial" w:cs="Arial" w:eastAsia="Arial" w:hAnsi="Arial"/>
          <w:i w:val="false"/>
          <w:iCs w:val="false"/>
          <w:color w:val="000000"/>
          <w:sz w:val="20"/>
          <w:szCs w:val="20"/>
        </w:rPr>
        <w:t xml:space="preserve">SpaceX designs, manufactures, and launches reusable rockets and spacecraft. Its principal products include: Falcon 9 (world's first orbital-class reusable rocket; ~620 launches; &gt;99% success rate; payload ~23MT to LEO), Falcon Heavy (64MT to LEO; 100% success rate; 11 launches), Dragon (cargo and crew spacecraft; 78 crewmembers flown from 20 countries), and Starship (in development; 12 flight tests completed; designed for 100MT to LEO fully reusable). Space segment had FY2025 revenue of $4.1B (~22% of consolidated) with $653M Adj. EBITDA (16% margin). The segment bears the bulk of Starship R&amp;D: $3.0B in FY2025 and $930M in Q1 2026 alone.</w:t>
      </w:r>
    </w:p>
    <w:p>
      <w:pPr>
        <w:pStyle w:val="Heading3"/>
        <w:spacing w:after="80" w:before="160"/>
      </w:pPr>
      <w:r>
        <w:rPr>
          <w:rFonts w:ascii="Arial" w:cs="Arial" w:eastAsia="Arial" w:hAnsi="Arial"/>
          <w:b/>
          <w:bCs/>
          <w:color w:val="2E75B6"/>
          <w:sz w:val="24"/>
          <w:szCs w:val="24"/>
        </w:rPr>
        <w:t xml:space="preserve">Segment 2 — Connectivity (Starlink)</w:t>
      </w:r>
    </w:p>
    <w:p>
      <w:pPr>
        <w:spacing w:after="160"/>
      </w:pPr>
      <w:r>
        <w:rPr>
          <w:rFonts w:ascii="Arial" w:cs="Arial" w:eastAsia="Arial" w:hAnsi="Arial"/>
          <w:i w:val="false"/>
          <w:iCs w:val="false"/>
          <w:color w:val="000000"/>
          <w:sz w:val="20"/>
          <w:szCs w:val="20"/>
        </w:rPr>
        <w:t xml:space="preserve">Starlink is SpaceX's global satellite internet service. It operates ~9,600 satellites in LEO — approximately 75% of all active maneuverable satellites globally — delivering median download speeds of 225 Mbps. Services include: Consumer Broadband (10.3M subscribers as of Q1 2026, across 164 countries), Enterprise Solutions (construction, agriculture, maritime, aviation), Government Solutions (resilient connectivity for public services, disaster response), Starshield (classified government/national security network), and Starlink Mobile (satellite-to-mobile connectivity via ~30 MNO partnerships in ~30 countries). Connectivity FY2025 revenue: $11.4B (+49.8% YoY) with $7.2B Adj. EBITDA (62.9% margin) — the cash engine of the business. V3 satellites (1 Tbps downlink per satellite) deployment via Starship expected H2 2026.</w:t>
      </w:r>
    </w:p>
    <w:p>
      <w:pPr>
        <w:pStyle w:val="Heading3"/>
        <w:spacing w:after="80" w:before="160"/>
      </w:pPr>
      <w:r>
        <w:rPr>
          <w:rFonts w:ascii="Arial" w:cs="Arial" w:eastAsia="Arial" w:hAnsi="Arial"/>
          <w:b/>
          <w:bCs/>
          <w:color w:val="2E75B6"/>
          <w:sz w:val="24"/>
          <w:szCs w:val="24"/>
        </w:rPr>
        <w:t xml:space="preserve">Segment 3 — AI (xAI)</w:t>
      </w:r>
    </w:p>
    <w:p>
      <w:pPr>
        <w:spacing w:after="160"/>
      </w:pPr>
      <w:r>
        <w:rPr>
          <w:rFonts w:ascii="Arial" w:cs="Arial" w:eastAsia="Arial" w:hAnsi="Arial"/>
          <w:i w:val="false"/>
          <w:iCs w:val="false"/>
          <w:color w:val="000000"/>
          <w:sz w:val="20"/>
          <w:szCs w:val="20"/>
        </w:rPr>
        <w:t xml:space="preserve">SpaceX acquired xAI (founded March 2023 by Elon Musk) in February 2026 in an all-share transaction between entities under common control. xAI operates: Grok (frontier LLM — launched Nov 2023, now on version 4+; integrated with X's 350M daily post stream), X — the social media/free speech platform (formerly Twitter; acquired by Musk Oct 2022, by xAI March 2025), AI Compute Infrastructure (COLOSSUS: ~100K H100s, 130MW; COLOSSUS II: ~110K GB200s + 110K GB300s, &gt;400MW total; Terafab chip initiative with Tesla and Intel), and Cursor AI coding tool (recently acquired). AI FY2025 revenue: $3.2B; operating loss: $(6.4)B. Q1 2026 AI capex: $7.7B — by far the dominant capital user.</w:t>
      </w:r>
    </w:p>
    <w:p>
      <w:pPr>
        <w:pStyle w:val="Heading2"/>
        <w:pBdr>
          <w:bottom w:val="single" w:color="2E75B6" w:sz="4"/>
        </w:pBdr>
        <w:spacing w:after="100" w:before="200"/>
      </w:pPr>
      <w:r>
        <w:rPr>
          <w:rFonts w:ascii="Arial" w:cs="Arial" w:eastAsia="Arial" w:hAnsi="Arial"/>
          <w:b/>
          <w:bCs/>
          <w:color w:val="1F3864"/>
          <w:sz w:val="28"/>
          <w:szCs w:val="28"/>
        </w:rPr>
        <w:t xml:space="preserve">Business Economics</w:t>
      </w:r>
    </w:p>
    <w:p>
      <w:pPr>
        <w:spacing w:after="160"/>
      </w:pPr>
      <w:r>
        <w:rPr>
          <w:rFonts w:ascii="Arial" w:cs="Arial" w:eastAsia="Arial" w:hAnsi="Arial"/>
          <w:i w:val="false"/>
          <w:iCs w:val="false"/>
          <w:color w:val="000000"/>
          <w:sz w:val="20"/>
          <w:szCs w:val="20"/>
        </w:rPr>
        <w:t xml:space="preserve">SpaceX's economics vary dramatically across segments. The Space segment benefits from reusable rocketry (reflight of boosters up to 34x), creating near-zero marginal cost per additional launch. Fixed-price government contracts (NASA, NSSL, DoD) provide revenue visibility but expose the company to cost overruns. Gross margins in Space are ~67% — exceptional for an aerospace business. The Connectivity segment has telecom-like recurring subscription economics with very high incremental margins once satellites are deployed. Revenue per subscriber has declined from ~$99/month (2024) to ~$66/month (Q1 2026), reflecting price competition and mix shift toward lower-ARPU markets, but this has been more than offset by subscriber volume doubling to 10.3M. The AI segment is in the heavy-investment phase with gross margins deteriorating as compute costs surge.</w:t>
      </w:r>
    </w:p>
    <w:p>
      <w:pPr>
        <w:pStyle w:val="Heading2"/>
        <w:pBdr>
          <w:bottom w:val="single" w:color="2E75B6" w:sz="4"/>
        </w:pBdr>
        <w:spacing w:after="100" w:before="200"/>
      </w:pPr>
      <w:r>
        <w:rPr>
          <w:rFonts w:ascii="Arial" w:cs="Arial" w:eastAsia="Arial" w:hAnsi="Arial"/>
          <w:b/>
          <w:bCs/>
          <w:color w:val="1F3864"/>
          <w:sz w:val="28"/>
          <w:szCs w:val="28"/>
        </w:rPr>
        <w:t xml:space="preserve">Competitive Advantages</w:t>
      </w:r>
    </w:p>
    <w:p>
      <w:pPr>
        <w:pStyle w:val="ListParagraph"/>
        <w:numPr>
          <w:ilvl w:val="0"/>
          <w:numId w:val="2"/>
        </w:numPr>
        <w:spacing w:after="80"/>
      </w:pPr>
      <w:r>
        <w:rPr>
          <w:rFonts w:ascii="Arial" w:cs="Arial" w:eastAsia="Arial" w:hAnsi="Arial"/>
          <w:i w:val="false"/>
          <w:iCs w:val="false"/>
          <w:color w:val="000000"/>
          <w:sz w:val="20"/>
          <w:szCs w:val="20"/>
        </w:rPr>
        <w:t xml:space="preserve">Reusable rocket technology: 10-year head start; no competitor has achieved comparable booster reuse economics</w:t>
      </w:r>
    </w:p>
    <w:p>
      <w:pPr>
        <w:pStyle w:val="ListParagraph"/>
        <w:numPr>
          <w:ilvl w:val="0"/>
          <w:numId w:val="2"/>
        </w:numPr>
        <w:spacing w:after="80"/>
      </w:pPr>
      <w:r>
        <w:rPr>
          <w:rFonts w:ascii="Arial" w:cs="Arial" w:eastAsia="Arial" w:hAnsi="Arial"/>
          <w:i w:val="false"/>
          <w:iCs w:val="false"/>
          <w:color w:val="000000"/>
          <w:sz w:val="20"/>
          <w:szCs w:val="20"/>
        </w:rPr>
        <w:t xml:space="preserve">Satellite constellation scale: 9,600 satellites vs. Amazon Kuiper (nascent), OneWeb (~600) — nearly impossible to replicate given spectrum rights, orbit slots, and launch economics</w:t>
      </w:r>
    </w:p>
    <w:p>
      <w:pPr>
        <w:pStyle w:val="ListParagraph"/>
        <w:numPr>
          <w:ilvl w:val="0"/>
          <w:numId w:val="2"/>
        </w:numPr>
        <w:spacing w:after="80"/>
      </w:pPr>
      <w:r>
        <w:rPr>
          <w:rFonts w:ascii="Arial" w:cs="Arial" w:eastAsia="Arial" w:hAnsi="Arial"/>
          <w:i w:val="false"/>
          <w:iCs w:val="false"/>
          <w:color w:val="000000"/>
          <w:sz w:val="20"/>
          <w:szCs w:val="20"/>
        </w:rPr>
        <w:t xml:space="preserve">Vertical integration: SpaceX designs, manufactures, launches, and operates everything from engines to satellites to ground stations to user terminals — enabling rapid iteration at minimal cost</w:t>
      </w:r>
    </w:p>
    <w:p>
      <w:pPr>
        <w:pStyle w:val="ListParagraph"/>
        <w:numPr>
          <w:ilvl w:val="0"/>
          <w:numId w:val="2"/>
        </w:numPr>
        <w:spacing w:after="80"/>
      </w:pPr>
      <w:r>
        <w:rPr>
          <w:rFonts w:ascii="Arial" w:cs="Arial" w:eastAsia="Arial" w:hAnsi="Arial"/>
          <w:i w:val="false"/>
          <w:iCs w:val="false"/>
          <w:color w:val="000000"/>
          <w:sz w:val="20"/>
          <w:szCs w:val="20"/>
        </w:rPr>
        <w:t xml:space="preserve">Proprietary access to Falcon 9/Heavy and soon Starship for constellation replenishment — no dependency on third-party launch providers</w:t>
      </w:r>
    </w:p>
    <w:p>
      <w:pPr>
        <w:pStyle w:val="ListParagraph"/>
        <w:numPr>
          <w:ilvl w:val="0"/>
          <w:numId w:val="2"/>
        </w:numPr>
        <w:spacing w:after="80"/>
      </w:pPr>
      <w:r>
        <w:rPr>
          <w:rFonts w:ascii="Arial" w:cs="Arial" w:eastAsia="Arial" w:hAnsi="Arial"/>
          <w:i w:val="false"/>
          <w:iCs w:val="false"/>
          <w:color w:val="000000"/>
          <w:sz w:val="20"/>
          <w:szCs w:val="20"/>
        </w:rPr>
        <w:t xml:space="preserve">Government trust: Only private company NASA-certified to fly humans; primary NSSL provider (11 of 12 missions in 2025)</w:t>
      </w:r>
    </w:p>
    <w:p>
      <w:pPr>
        <w:pStyle w:val="ListParagraph"/>
        <w:numPr>
          <w:ilvl w:val="0"/>
          <w:numId w:val="2"/>
        </w:numPr>
        <w:spacing w:after="80"/>
      </w:pPr>
      <w:r>
        <w:rPr>
          <w:rFonts w:ascii="Arial" w:cs="Arial" w:eastAsia="Arial" w:hAnsi="Arial"/>
          <w:i w:val="false"/>
          <w:iCs w:val="false"/>
          <w:color w:val="000000"/>
          <w:sz w:val="20"/>
          <w:szCs w:val="20"/>
        </w:rPr>
        <w:t xml:space="preserve">Network effects: Largest and highest-capacity LEO constellation means lowest latency/highest throughput — self-reinforcing advantage</w:t>
      </w:r>
    </w:p>
    <w:p>
      <w:pPr>
        <w:pStyle w:val="ListParagraph"/>
        <w:numPr>
          <w:ilvl w:val="0"/>
          <w:numId w:val="2"/>
        </w:numPr>
        <w:spacing w:after="80"/>
      </w:pPr>
      <w:r>
        <w:rPr>
          <w:rFonts w:ascii="Arial" w:cs="Arial" w:eastAsia="Arial" w:hAnsi="Arial"/>
          <w:i w:val="false"/>
          <w:iCs w:val="false"/>
          <w:color w:val="000000"/>
          <w:sz w:val="20"/>
          <w:szCs w:val="20"/>
        </w:rPr>
        <w:t xml:space="preserve">Brand and mission narrative: Attracts world-class talent willing to accept below-market compensation for mission alignment</w:t>
      </w:r>
    </w:p>
    <w:p>
      <w:pPr>
        <w:pStyle w:val="Heading2"/>
        <w:pBdr>
          <w:bottom w:val="single" w:color="2E75B6" w:sz="4"/>
        </w:pBdr>
        <w:spacing w:after="100" w:before="200"/>
      </w:pPr>
      <w:r>
        <w:rPr>
          <w:rFonts w:ascii="Arial" w:cs="Arial" w:eastAsia="Arial" w:hAnsi="Arial"/>
          <w:b/>
          <w:bCs/>
          <w:color w:val="1F3864"/>
          <w:sz w:val="28"/>
          <w:szCs w:val="28"/>
        </w:rPr>
        <w:t xml:space="preserve">Business Risks</w:t>
      </w:r>
    </w:p>
    <w:p>
      <w:pPr>
        <w:pStyle w:val="ListParagraph"/>
        <w:numPr>
          <w:ilvl w:val="0"/>
          <w:numId w:val="2"/>
        </w:numPr>
        <w:spacing w:after="80"/>
      </w:pPr>
      <w:r>
        <w:rPr>
          <w:rFonts w:ascii="Arial" w:cs="Arial" w:eastAsia="Arial" w:hAnsi="Arial"/>
          <w:i w:val="false"/>
          <w:iCs w:val="false"/>
          <w:color w:val="000000"/>
          <w:sz w:val="20"/>
          <w:szCs w:val="20"/>
        </w:rPr>
        <w:t xml:space="preserve">AI segment risk: $20.7B combined capex+R&amp;D in FY2025 — mostly AI — creates enormous cash drag with uncertain payoff; Grok trails ChatGPT and Claude in enterprise adoption</w:t>
      </w:r>
    </w:p>
    <w:p>
      <w:pPr>
        <w:pStyle w:val="ListParagraph"/>
        <w:numPr>
          <w:ilvl w:val="0"/>
          <w:numId w:val="2"/>
        </w:numPr>
        <w:spacing w:after="80"/>
      </w:pPr>
      <w:r>
        <w:rPr>
          <w:rFonts w:ascii="Arial" w:cs="Arial" w:eastAsia="Arial" w:hAnsi="Arial"/>
          <w:i w:val="false"/>
          <w:iCs w:val="false"/>
          <w:color w:val="000000"/>
          <w:sz w:val="20"/>
          <w:szCs w:val="20"/>
        </w:rPr>
        <w:t xml:space="preserve">Starship dependency: Many of SpaceX's long-term projections (V3 satellites, orbital compute, Mars) hinge on Starship commercialization; 12 test flights completed but commercial payload delivery not until H2 2026</w:t>
      </w:r>
    </w:p>
    <w:p>
      <w:pPr>
        <w:pStyle w:val="ListParagraph"/>
        <w:numPr>
          <w:ilvl w:val="0"/>
          <w:numId w:val="2"/>
        </w:numPr>
        <w:spacing w:after="80"/>
      </w:pPr>
      <w:r>
        <w:rPr>
          <w:rFonts w:ascii="Arial" w:cs="Arial" w:eastAsia="Arial" w:hAnsi="Arial"/>
          <w:i w:val="false"/>
          <w:iCs w:val="false"/>
          <w:color w:val="000000"/>
          <w:sz w:val="20"/>
          <w:szCs w:val="20"/>
        </w:rPr>
        <w:t xml:space="preserve">Government contract concentration: U.S. government is a significant revenue source; political/budget risk is real</w:t>
      </w:r>
    </w:p>
    <w:p>
      <w:pPr>
        <w:pStyle w:val="ListParagraph"/>
        <w:numPr>
          <w:ilvl w:val="0"/>
          <w:numId w:val="2"/>
        </w:numPr>
        <w:spacing w:after="80"/>
      </w:pPr>
      <w:r>
        <w:rPr>
          <w:rFonts w:ascii="Arial" w:cs="Arial" w:eastAsia="Arial" w:hAnsi="Arial"/>
          <w:i w:val="false"/>
          <w:iCs w:val="false"/>
          <w:color w:val="000000"/>
          <w:sz w:val="20"/>
          <w:szCs w:val="20"/>
        </w:rPr>
        <w:t xml:space="preserve">ARPU pressure: Starlink ARPU decline from $99 to $66/month is a concerning trend requiring subscriber volume to fully compensate</w:t>
      </w:r>
    </w:p>
    <w:p>
      <w:pPr>
        <w:pStyle w:val="ListParagraph"/>
        <w:numPr>
          <w:ilvl w:val="0"/>
          <w:numId w:val="2"/>
        </w:numPr>
        <w:spacing w:after="80"/>
      </w:pPr>
      <w:r>
        <w:rPr>
          <w:rFonts w:ascii="Arial" w:cs="Arial" w:eastAsia="Arial" w:hAnsi="Arial"/>
          <w:i w:val="false"/>
          <w:iCs w:val="false"/>
          <w:color w:val="000000"/>
          <w:sz w:val="20"/>
          <w:szCs w:val="20"/>
        </w:rPr>
        <w:t xml:space="preserve">Spectrum and regulatory: Global satellite broadband requires country-by-country regulatory approvals; frequency coordination is complex</w:t>
      </w:r>
    </w:p>
    <w:p>
      <w:pPr>
        <w:pStyle w:val="ListParagraph"/>
        <w:numPr>
          <w:ilvl w:val="0"/>
          <w:numId w:val="2"/>
        </w:numPr>
        <w:spacing w:after="80"/>
      </w:pPr>
      <w:r>
        <w:rPr>
          <w:rFonts w:ascii="Arial" w:cs="Arial" w:eastAsia="Arial" w:hAnsi="Arial"/>
          <w:i w:val="false"/>
          <w:iCs w:val="false"/>
          <w:color w:val="000000"/>
          <w:sz w:val="20"/>
          <w:szCs w:val="20"/>
        </w:rPr>
        <w:t xml:space="preserve">Key-person risk: Musk runs at least five major entities simultaneously</w:t>
      </w:r>
    </w:p>
    <w:p>
      <w:r>
        <w:br w:type="page"/>
      </w:r>
    </w:p>
    <w:p>
      <w:pPr>
        <w:pStyle w:val="Heading1"/>
        <w:shd w:fill="1F3864" w:val="clear"/>
        <w:spacing w:after="120" w:before="240"/>
      </w:pPr>
      <w:r>
        <w:rPr>
          <w:rFonts w:ascii="Arial" w:cs="Arial" w:eastAsia="Arial" w:hAnsi="Arial"/>
          <w:b/>
          <w:bCs/>
          <w:color w:val="FFFFFF"/>
          <w:sz w:val="36"/>
          <w:szCs w:val="36"/>
        </w:rPr>
        <w:t xml:space="preserve">3. Industry &amp; Market Analysis</w:t>
      </w:r>
    </w:p>
    <w:p>
      <w:pPr>
        <w:pStyle w:val="Heading2"/>
        <w:pBdr>
          <w:bottom w:val="single" w:color="2E75B6" w:sz="4"/>
        </w:pBdr>
        <w:spacing w:after="100" w:before="200"/>
      </w:pPr>
      <w:r>
        <w:rPr>
          <w:rFonts w:ascii="Arial" w:cs="Arial" w:eastAsia="Arial" w:hAnsi="Arial"/>
          <w:b/>
          <w:bCs/>
          <w:color w:val="1F3864"/>
          <w:sz w:val="28"/>
          <w:szCs w:val="28"/>
        </w:rPr>
        <w:t xml:space="preserve">Industry Overview</w:t>
      </w:r>
    </w:p>
    <w:p>
      <w:pPr>
        <w:spacing w:after="160"/>
      </w:pPr>
      <w:r>
        <w:rPr>
          <w:rFonts w:ascii="Arial" w:cs="Arial" w:eastAsia="Arial" w:hAnsi="Arial"/>
          <w:i w:val="false"/>
          <w:iCs w:val="false"/>
          <w:color w:val="000000"/>
          <w:sz w:val="20"/>
          <w:szCs w:val="20"/>
        </w:rPr>
        <w:t xml:space="preserve">SpaceX operates at the intersection of three high-growth industries. The global commercial space launch market was ~$30B in 2026 and is projected to reach $100B by 2036 (Damodaran estimate; Space Foundation reports $613B global space economy in 2024). The satellite internet services market is ~$15B currently and is expected to grow to $160B over the next decade as technology improves service quality. The AI infrastructure and frontier model market is the largest and most volatile — estimates of TAM range from hundreds of billions to the $26 trillion figure cited (credibly inflated) in SpaceX's own prospectus. A credible AI products/services TAM is $3–4 trillion by 2035, per Damodaran.</w:t>
      </w:r>
    </w:p>
    <w:p>
      <w:pPr>
        <w:pStyle w:val="Heading2"/>
        <w:pBdr>
          <w:bottom w:val="single" w:color="2E75B6" w:sz="4"/>
        </w:pBdr>
        <w:spacing w:after="100" w:before="200"/>
      </w:pPr>
      <w:r>
        <w:rPr>
          <w:rFonts w:ascii="Arial" w:cs="Arial" w:eastAsia="Arial" w:hAnsi="Arial"/>
          <w:b/>
          <w:bCs/>
          <w:color w:val="1F3864"/>
          <w:sz w:val="28"/>
          <w:szCs w:val="28"/>
        </w:rPr>
        <w:t xml:space="preserve">Market Position</w:t>
      </w:r>
    </w:p>
    <w:p>
      <w:pPr>
        <w:spacing w:after="160"/>
      </w:pPr>
      <w:r>
        <w:rPr>
          <w:rFonts w:ascii="Arial" w:cs="Arial" w:eastAsia="Arial" w:hAnsi="Arial"/>
          <w:i w:val="false"/>
          <w:iCs w:val="false"/>
          <w:color w:val="000000"/>
          <w:sz w:val="20"/>
          <w:szCs w:val="20"/>
        </w:rPr>
        <w:t xml:space="preserve">In Space: SpaceX had &gt;80% global orbital launch market share in 2025, launching 11 of 12 NSSL medium/heavy missions and all U.S. ISS crew/cargo missions. In Connectivity: Starlink is the dominant LEO broadband provider, with Amazon Kuiper the only credible near-term competitor (though it has a fraction of SpaceX's satellites). In AI: Grok lags the major models (GPT-4o, Claude 3.5/4, Gemini 2.0) in enterprise adoption and revenue per user, though it benefits from X integration for real-time data freshness.</w:t>
      </w:r>
    </w:p>
    <w:p>
      <w:pPr>
        <w:pStyle w:val="Heading2"/>
        <w:pBdr>
          <w:bottom w:val="single" w:color="2E75B6" w:sz="4"/>
        </w:pBdr>
        <w:spacing w:after="100" w:before="200"/>
      </w:pPr>
      <w:r>
        <w:rPr>
          <w:rFonts w:ascii="Arial" w:cs="Arial" w:eastAsia="Arial" w:hAnsi="Arial"/>
          <w:b/>
          <w:bCs/>
          <w:color w:val="1F3864"/>
          <w:sz w:val="28"/>
          <w:szCs w:val="28"/>
        </w:rPr>
        <w:t xml:space="preserve">Industry Structure — Five Forces</w:t>
      </w:r>
    </w:p>
    <w:p>
      <w:pPr>
        <w:pStyle w:val="Heading3"/>
        <w:spacing w:after="80" w:before="160"/>
      </w:pPr>
      <w:r>
        <w:rPr>
          <w:rFonts w:ascii="Arial" w:cs="Arial" w:eastAsia="Arial" w:hAnsi="Arial"/>
          <w:b/>
          <w:bCs/>
          <w:color w:val="2E75B6"/>
          <w:sz w:val="24"/>
          <w:szCs w:val="24"/>
        </w:rPr>
        <w:t xml:space="preserve">Entry Barriers</w:t>
      </w:r>
    </w:p>
    <w:p>
      <w:pPr>
        <w:spacing w:after="160"/>
      </w:pPr>
      <w:r>
        <w:rPr>
          <w:rFonts w:ascii="Arial" w:cs="Arial" w:eastAsia="Arial" w:hAnsi="Arial"/>
          <w:i w:val="false"/>
          <w:iCs w:val="false"/>
          <w:color w:val="000000"/>
          <w:sz w:val="20"/>
          <w:szCs w:val="20"/>
        </w:rPr>
        <w:t xml:space="preserve">Extremely high in Space and Connectivity: requires billions in capital, years of development, regulatory approvals, orbital spectrum licenses, and a launch capability. This is SpaceX's most durable moat. AI compute infrastructure also has very high barriers (power access, GPU supply, construction speed), but the barriers in AI model development are lower — requiring principally talent and compute.</w:t>
      </w:r>
    </w:p>
    <w:p>
      <w:pPr>
        <w:pStyle w:val="Heading3"/>
        <w:spacing w:after="80" w:before="160"/>
      </w:pPr>
      <w:r>
        <w:rPr>
          <w:rFonts w:ascii="Arial" w:cs="Arial" w:eastAsia="Arial" w:hAnsi="Arial"/>
          <w:b/>
          <w:bCs/>
          <w:color w:val="2E75B6"/>
          <w:sz w:val="24"/>
          <w:szCs w:val="24"/>
        </w:rPr>
        <w:t xml:space="preserve">Competitive Intensity</w:t>
      </w:r>
    </w:p>
    <w:p>
      <w:pPr>
        <w:spacing w:after="160"/>
      </w:pPr>
      <w:r>
        <w:rPr>
          <w:rFonts w:ascii="Arial" w:cs="Arial" w:eastAsia="Arial" w:hAnsi="Arial"/>
          <w:i w:val="false"/>
          <w:iCs w:val="false"/>
          <w:color w:val="000000"/>
          <w:sz w:val="20"/>
          <w:szCs w:val="20"/>
        </w:rPr>
        <w:t xml:space="preserve">In Space: Moderate and declining for SpaceX. Blue Origin (New Glenn), Rocket Lab (Neutron), ULA (Vulcan) are real but lag significantly. In Connectivity: Escalating — Amazon Kuiper, Blue Origin's TeraWave, OneWeb/Eutelsat all competing. In AI: Ferocious — OpenAI (backed by Microsoft), Anthropic (backed by Google and Amazon), Google (Gemini), Meta (Llama). This is the segment where SpaceX is most at risk.</w:t>
      </w:r>
    </w:p>
    <w:p>
      <w:pPr>
        <w:pStyle w:val="Heading2"/>
        <w:pBdr>
          <w:bottom w:val="single" w:color="2E75B6" w:sz="4"/>
        </w:pBdr>
        <w:spacing w:after="100" w:before="200"/>
      </w:pPr>
      <w:r>
        <w:rPr>
          <w:rFonts w:ascii="Arial" w:cs="Arial" w:eastAsia="Arial" w:hAnsi="Arial"/>
          <w:b/>
          <w:bCs/>
          <w:color w:val="1F3864"/>
          <w:sz w:val="28"/>
          <w:szCs w:val="28"/>
        </w:rPr>
        <w:t xml:space="preserve">Prospectus TAM Claims vs. Reality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380"/>
        <w:gridCol w:w="2380"/>
        <w:gridCol w:w="2000"/>
      </w:tblGrid>
      <w:tr>
        <w:tc>
          <w:tcPr>
            <w:tcW w:type="dxa" w:w="26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Segment</w:t>
            </w:r>
          </w:p>
        </w:tc>
        <w:tc>
          <w:tcPr>
            <w:tcW w:type="dxa" w:w="23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Prospectus TAM</w:t>
            </w:r>
          </w:p>
        </w:tc>
        <w:tc>
          <w:tcPr>
            <w:tcW w:type="dxa" w:w="23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Damodaran TAM</w:t>
            </w:r>
          </w:p>
        </w:tc>
        <w:tc>
          <w:tcPr>
            <w:tcW w:type="dxa" w:w="20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Assessment</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Space Launch</w:t>
            </w:r>
          </w:p>
        </w:tc>
        <w:tc>
          <w:tcPr>
            <w:tcW w:type="dxa" w:w="23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Not specified</w:t>
            </w:r>
          </w:p>
        </w:tc>
        <w:tc>
          <w:tcPr>
            <w:tcW w:type="dxa" w:w="23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$100B by 2036</w:t>
            </w:r>
          </w:p>
        </w:tc>
        <w:tc>
          <w:tcPr>
            <w:tcW w:type="dxa" w:w="20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375623"/>
                <w:sz w:val="18"/>
                <w:szCs w:val="18"/>
              </w:rPr>
              <w:t xml:space="preserve">Credible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Connectivity</w:t>
            </w:r>
          </w:p>
        </w:tc>
        <w:tc>
          <w:tcPr>
            <w:tcW w:type="dxa" w:w="23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$1.4T+</w:t>
            </w:r>
          </w:p>
        </w:tc>
        <w:tc>
          <w:tcPr>
            <w:tcW w:type="dxa" w:w="23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$160B by 2036</w:t>
            </w:r>
          </w:p>
        </w:tc>
        <w:tc>
          <w:tcPr>
            <w:tcW w:type="dxa" w:w="20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7F6000"/>
                <w:sz w:val="18"/>
                <w:szCs w:val="18"/>
              </w:rPr>
              <w:t xml:space="preserve">Inflated</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AI</w:t>
            </w:r>
          </w:p>
        </w:tc>
        <w:tc>
          <w:tcPr>
            <w:tcW w:type="dxa" w:w="23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$26T</w:t>
            </w:r>
          </w:p>
        </w:tc>
        <w:tc>
          <w:tcPr>
            <w:tcW w:type="dxa" w:w="23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$3–4T by 2035</w:t>
            </w:r>
          </w:p>
        </w:tc>
        <w:tc>
          <w:tcPr>
            <w:tcW w:type="dxa" w:w="20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Fantasy</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Total</w:t>
            </w:r>
          </w:p>
        </w:tc>
        <w:tc>
          <w:tcPr>
            <w:tcW w:type="dxa" w:w="23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~$28T</w:t>
            </w:r>
          </w:p>
        </w:tc>
        <w:tc>
          <w:tcPr>
            <w:tcW w:type="dxa" w:w="23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375623"/>
                <w:sz w:val="18"/>
                <w:szCs w:val="18"/>
              </w:rPr>
              <w:t xml:space="preserve">~$4T credible</w:t>
            </w:r>
          </w:p>
        </w:tc>
        <w:tc>
          <w:tcPr>
            <w:tcW w:type="dxa" w:w="20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Buyer Beware</w:t>
            </w:r>
          </w:p>
        </w:tc>
      </w:tr>
    </w:tbl>
    <w:p>
      <w:r>
        <w:br w:type="page"/>
      </w:r>
    </w:p>
    <w:p>
      <w:pPr>
        <w:pStyle w:val="Heading1"/>
        <w:shd w:fill="1F3864" w:val="clear"/>
        <w:spacing w:after="120" w:before="240"/>
      </w:pPr>
      <w:r>
        <w:rPr>
          <w:rFonts w:ascii="Arial" w:cs="Arial" w:eastAsia="Arial" w:hAnsi="Arial"/>
          <w:b/>
          <w:bCs/>
          <w:color w:val="FFFFFF"/>
          <w:sz w:val="36"/>
          <w:szCs w:val="36"/>
        </w:rPr>
        <w:t xml:space="preserve">4. IPO Structure &amp; Objects of the Issue</w:t>
      </w:r>
    </w:p>
    <w:p>
      <w:pPr>
        <w:pStyle w:val="Heading2"/>
        <w:pBdr>
          <w:bottom w:val="single" w:color="2E75B6" w:sz="4"/>
        </w:pBdr>
        <w:spacing w:after="100" w:before="200"/>
      </w:pPr>
      <w:r>
        <w:rPr>
          <w:rFonts w:ascii="Arial" w:cs="Arial" w:eastAsia="Arial" w:hAnsi="Arial"/>
          <w:b/>
          <w:bCs/>
          <w:color w:val="1F3864"/>
          <w:sz w:val="28"/>
          <w:szCs w:val="28"/>
        </w:rPr>
        <w:t xml:space="preserve">Issue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Parameter</w:t>
            </w:r>
          </w:p>
        </w:tc>
        <w:tc>
          <w:tcPr>
            <w:tcW w:type="dxa" w:w="58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Detail</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Issuer</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Space Exploration Technologies Corp. (SpaceX)</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Exchange</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Nasdaq (SPCX) + Nasdaq Texas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Offering Type</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100% Fresh Issue — NO Offer for Sale (OFS)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Shares Offered</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555,555,555 Class A shares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Over-allotment Option</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Up to 83,333,333 additional Class A shares (30 days)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IPO Price</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$135.00 per share (preliminary)</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Gross Proceeds</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~$75.0 billion</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Net Proceeds (est.)</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~$74.4 billion</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Pre-IPO Share Count</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~12,535 million shares (all classes, basic)</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Post-IPO Market Cap</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~$1,767 billion (~$1.77 trillion)</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Class A Voting Power</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 vote per share</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Class B Voting Power</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10 votes per share (held primarily by Musk)</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Musk Post-IPO Voting</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~82.4% (via Class A + Class B holdings)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Underwriters</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Goldman Sachs, Morgan Stanley, BofA, Citi, JP Morgan + 19 others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Auditor</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PricewaterhouseCoopers LLP (since 2012)</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Directed Share Program</w:t>
            </w:r>
          </w:p>
        </w:tc>
        <w:tc>
          <w:tcPr>
            <w:tcW w:type="dxa" w:w="58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Up to 5% reserved for employees/officer-designated persons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Lock-up Period</w:t>
            </w:r>
          </w:p>
        </w:tc>
        <w:tc>
          <w:tcPr>
            <w:tcW w:type="dxa" w:w="58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Standard; early investors can exit after lock-up expiry</w:t>
            </w:r>
          </w:p>
        </w:tc>
      </w:tr>
    </w:tbl>
    <w:p>
      <w:pPr>
        <w:spacing w:after="80" w:before="120"/>
      </w:pPr>
      <w:r>
        <w:rPr>
          <w:rFonts w:ascii="Arial" w:cs="Arial" w:eastAsia="Arial" w:hAnsi="Arial"/>
          <w:i w:val="false"/>
          <w:iCs w:val="false"/>
          <w:color w:val="000000"/>
          <w:sz w:val="22"/>
          <w:szCs w:val="22"/>
        </w:rPr>
        <w:t xml:space="preserve"/>
      </w:r>
    </w:p>
    <w:p>
      <w:pPr>
        <w:pStyle w:val="Heading2"/>
        <w:pBdr>
          <w:bottom w:val="single" w:color="2E75B6" w:sz="4"/>
        </w:pBdr>
        <w:spacing w:after="100" w:before="200"/>
      </w:pPr>
      <w:r>
        <w:rPr>
          <w:rFonts w:ascii="Arial" w:cs="Arial" w:eastAsia="Arial" w:hAnsi="Arial"/>
          <w:b/>
          <w:bCs/>
          <w:color w:val="1F3864"/>
          <w:sz w:val="28"/>
          <w:szCs w:val="28"/>
        </w:rPr>
        <w:t xml:space="preserve">Use of Proceeds</w:t>
      </w:r>
    </w:p>
    <w:p>
      <w:pPr>
        <w:spacing w:after="160"/>
      </w:pPr>
      <w:r>
        <w:rPr>
          <w:rFonts w:ascii="Arial" w:cs="Arial" w:eastAsia="Arial" w:hAnsi="Arial"/>
          <w:i w:val="false"/>
          <w:iCs w:val="false"/>
          <w:color w:val="000000"/>
          <w:sz w:val="20"/>
          <w:szCs w:val="20"/>
        </w:rPr>
        <w:t xml:space="preserve">The prospectus states proceeds will be used to fund the company's growth strategy, including: (1) expansion of AI compute infrastructure (Colossus III, orbital compute satellites), (2) enhancements to launch infrastructure and vehicles (Starship Cape Canaveral pad, Florida Starship gigabay), (3) increases in satellite constellation scale and capacity (V3 Starlink satellites), and (4) any remaining amounts for general corporate purposes. No specific allocation percentages are provided — management retains full discretion. This vagueness is a yellow flag, but given the scale of disclosed capex plans, the use is broadly productive.</w:t>
      </w:r>
    </w:p>
    <w:p>
      <w:pPr>
        <w:pStyle w:val="Heading2"/>
        <w:pBdr>
          <w:bottom w:val="single" w:color="2E75B6" w:sz="4"/>
        </w:pBdr>
        <w:spacing w:after="100" w:before="200"/>
      </w:pPr>
      <w:r>
        <w:rPr>
          <w:rFonts w:ascii="Arial" w:cs="Arial" w:eastAsia="Arial" w:hAnsi="Arial"/>
          <w:b/>
          <w:bCs/>
          <w:color w:val="1F3864"/>
          <w:sz w:val="28"/>
          <w:szCs w:val="28"/>
        </w:rPr>
        <w:t xml:space="preserve">Assessment</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POSITIVE: 100% Fresh Issue — no promoter/PE exit. All capital stays in company.</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POSITIVE: Disclosed use of proceeds is capital-productive (infrastructure, satellites, compute)</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YELLOW FLAG: No specific allocation percentages — management flexibility is very wide</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YELLOW FLAG: AI capex trajectory ($7.7B in Q1 2026 alone) suggests proceeds will be consumed very rapidly</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RED FLAG: 'General corporate purposes' catch-all could include compensating Musk via equity programs</w:t>
      </w:r>
    </w:p>
    <w:p>
      <w:r>
        <w:br w:type="page"/>
      </w:r>
    </w:p>
    <w:p>
      <w:pPr>
        <w:pStyle w:val="Heading1"/>
        <w:shd w:fill="1F3864" w:val="clear"/>
        <w:spacing w:after="120" w:before="240"/>
      </w:pPr>
      <w:r>
        <w:rPr>
          <w:rFonts w:ascii="Arial" w:cs="Arial" w:eastAsia="Arial" w:hAnsi="Arial"/>
          <w:b/>
          <w:bCs/>
          <w:color w:val="FFFFFF"/>
          <w:sz w:val="36"/>
          <w:szCs w:val="36"/>
        </w:rPr>
        <w:t xml:space="preserve">5. Financial Analysis</w:t>
      </w:r>
    </w:p>
    <w:p>
      <w:pPr>
        <w:pStyle w:val="Heading2"/>
        <w:pBdr>
          <w:bottom w:val="single" w:color="2E75B6" w:sz="4"/>
        </w:pBdr>
        <w:spacing w:after="100" w:before="200"/>
      </w:pPr>
      <w:r>
        <w:rPr>
          <w:rFonts w:ascii="Arial" w:cs="Arial" w:eastAsia="Arial" w:hAnsi="Arial"/>
          <w:b/>
          <w:bCs/>
          <w:color w:val="1F3864"/>
          <w:sz w:val="28"/>
          <w:szCs w:val="28"/>
        </w:rPr>
        <w:t xml:space="preserve">Income Statement Summary ($ millions)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60"/>
        <w:gridCol w:w="1650"/>
        <w:gridCol w:w="1650"/>
        <w:gridCol w:w="1650"/>
        <w:gridCol w:w="1650"/>
      </w:tblGrid>
      <w:tr>
        <w:tc>
          <w:tcPr>
            <w:tcW w:type="dxa" w:w="27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Metric</w:t>
            </w:r>
          </w:p>
        </w:tc>
        <w:tc>
          <w:tcPr>
            <w:tcW w:type="dxa" w:w="165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FY2023</w:t>
            </w:r>
          </w:p>
        </w:tc>
        <w:tc>
          <w:tcPr>
            <w:tcW w:type="dxa" w:w="165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FY2024</w:t>
            </w:r>
          </w:p>
        </w:tc>
        <w:tc>
          <w:tcPr>
            <w:tcW w:type="dxa" w:w="165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FY2025</w:t>
            </w:r>
          </w:p>
        </w:tc>
        <w:tc>
          <w:tcPr>
            <w:tcW w:type="dxa" w:w="165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Q1 2026</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($M)</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10,387</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14,015</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18,674</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4,694</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Growth YoY</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+34.9%</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+33.3%</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Cost of Revenue ($M)</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6,110</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7,996</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9,451</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Gross Profit ($M)</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4,277</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6,019</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9,223</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Gross Margin</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41.2%</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42.9%</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49.4%</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R&amp;D Expense ($M)</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2,105</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3,464</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8,643</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~3,100e</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SG&amp;A Expense ($M)</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1,665</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1,813</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2,644</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Operating Income ($M)</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(3,505)</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466</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(2,589)</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(1,943)</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Operating Margin</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-33.7%</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+3.3%</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-13.9%</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-41.4%</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Adj. EBITDA ($M)</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~3,800e</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6,584</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1,127</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Adj. EBITDA Margin</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~27%e</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35.2%</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24.0%</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Interest Expense ($M)</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(1,693)</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(1,580)</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(1,945)</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Income ($M)</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(4,628)</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791</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(4,937)</w:t>
            </w:r>
          </w:p>
        </w:tc>
        <w:tc>
          <w:tcPr>
            <w:tcW w:type="dxa" w:w="165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Large loss</w:t>
            </w:r>
          </w:p>
        </w:tc>
      </w:tr>
      <w:tr>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Margin</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-44.6%</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+5.6%</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-26.4%</w:t>
            </w:r>
          </w:p>
        </w:tc>
        <w:tc>
          <w:tcPr>
            <w:tcW w:type="dxa" w:w="165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bl>
    <w:p>
      <w:pPr>
        <w:spacing w:after="80" w:before="80"/>
      </w:pPr>
      <w:r>
        <w:rPr>
          <w:rFonts w:ascii="Arial" w:cs="Arial" w:eastAsia="Arial" w:hAnsi="Arial"/>
          <w:i w:val="false"/>
          <w:iCs w:val="false"/>
          <w:color w:val="000000"/>
          <w:sz w:val="22"/>
          <w:szCs w:val="22"/>
        </w:rPr>
        <w:t xml:space="preserve"/>
      </w:r>
    </w:p>
    <w:p>
      <w:pPr>
        <w:pStyle w:val="Heading2"/>
        <w:pBdr>
          <w:bottom w:val="single" w:color="2E75B6" w:sz="4"/>
        </w:pBdr>
        <w:spacing w:after="100" w:before="200"/>
      </w:pPr>
      <w:r>
        <w:rPr>
          <w:rFonts w:ascii="Arial" w:cs="Arial" w:eastAsia="Arial" w:hAnsi="Arial"/>
          <w:b/>
          <w:bCs/>
          <w:color w:val="1F3864"/>
          <w:sz w:val="28"/>
          <w:szCs w:val="28"/>
        </w:rPr>
        <w:t xml:space="preserve">Segment Performance (FY2025, $ millions)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690"/>
        <w:gridCol w:w="1690"/>
        <w:gridCol w:w="1690"/>
        <w:gridCol w:w="1690"/>
      </w:tblGrid>
      <w:tr>
        <w:tc>
          <w:tcPr>
            <w:tcW w:type="dxa" w:w="26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Segment</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Space</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Connectivity</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AI</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Consolidated</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($M)</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4,086</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11,387</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3,201</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18,674</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Mix</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21.9%</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61.0%</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17.1%</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100%</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Adj. EBITDA ($M)</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653</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7,168</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(1,237)</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6,584</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Adj. EBITDA Margin</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16.0%</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62.9%</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-38.6%</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35.2%</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Operating Income ($M)</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(657)</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4,423</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(6,355)</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(2,589)</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Capex ($M)</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3,832</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4,178</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12,727</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20,737</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R&amp;D Included ($M)</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3,004</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~1,000e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~4,600e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8,643</w:t>
            </w:r>
          </w:p>
        </w:tc>
      </w:tr>
    </w:tbl>
    <w:p>
      <w:pPr>
        <w:spacing w:after="80" w:before="80"/>
      </w:pPr>
      <w:r>
        <w:rPr>
          <w:rFonts w:ascii="Arial" w:cs="Arial" w:eastAsia="Arial" w:hAnsi="Arial"/>
          <w:i w:val="false"/>
          <w:iCs w:val="false"/>
          <w:color w:val="000000"/>
          <w:sz w:val="22"/>
          <w:szCs w:val="22"/>
        </w:rPr>
        <w:t xml:space="preserve"/>
      </w:r>
    </w:p>
    <w:p>
      <w:pPr>
        <w:pStyle w:val="Heading2"/>
        <w:pBdr>
          <w:bottom w:val="single" w:color="2E75B6" w:sz="4"/>
        </w:pBdr>
        <w:spacing w:after="100" w:before="200"/>
      </w:pPr>
      <w:r>
        <w:rPr>
          <w:rFonts w:ascii="Arial" w:cs="Arial" w:eastAsia="Arial" w:hAnsi="Arial"/>
          <w:b/>
          <w:bCs/>
          <w:color w:val="1F3864"/>
          <w:sz w:val="28"/>
          <w:szCs w:val="28"/>
        </w:rPr>
        <w:t xml:space="preserve">Key Growth Metrics</w:t>
      </w:r>
    </w:p>
    <w:p>
      <w:pPr>
        <w:spacing w:after="160"/>
      </w:pPr>
      <w:r>
        <w:rPr>
          <w:rFonts w:ascii="Arial" w:cs="Arial" w:eastAsia="Arial" w:hAnsi="Arial"/>
          <w:i w:val="false"/>
          <w:iCs w:val="false"/>
          <w:color w:val="000000"/>
          <w:sz w:val="20"/>
          <w:szCs w:val="20"/>
        </w:rPr>
        <w:t xml:space="preserve">Revenue CAGR (FY2023–FY2025): 34.1%  |  Gross Profit CAGR: 46.7%  |  Adj. EBITDA (FY2025): $6.58B. The quality of revenue growth is high — Connectivity drives the lion's share (61% of revenue) and is high-margin. However, the FY2025 Adj. EBITDA figure is flattered by the Connectivity segment ($7.2B) masking the AI segment's ($1.2B) loss. On a reported GAAP basis, net losses are widening — from ($4.6B) in FY2023, to $791M profit in FY2024, back to ($4.9B) loss in FY2025. The FY2024 profit was essentially a one-year blip before the xAI acquisition dramatically increased the cost structure.</w:t>
      </w:r>
    </w:p>
    <w:p>
      <w:pPr>
        <w:pStyle w:val="Heading2"/>
        <w:pBdr>
          <w:bottom w:val="single" w:color="2E75B6" w:sz="4"/>
        </w:pBdr>
        <w:spacing w:after="100" w:before="200"/>
      </w:pPr>
      <w:r>
        <w:rPr>
          <w:rFonts w:ascii="Arial" w:cs="Arial" w:eastAsia="Arial" w:hAnsi="Arial"/>
          <w:b/>
          <w:bCs/>
          <w:color w:val="1F3864"/>
          <w:sz w:val="28"/>
          <w:szCs w:val="28"/>
        </w:rPr>
        <w:t xml:space="preserve">Balance Sheet Summary ($ millions)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080"/>
        <w:gridCol w:w="3080"/>
      </w:tblGrid>
      <w:tr>
        <w:tc>
          <w:tcPr>
            <w:tcW w:type="dxa" w:w="3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Metric</w:t>
            </w:r>
          </w:p>
        </w:tc>
        <w:tc>
          <w:tcPr>
            <w:tcW w:type="dxa" w:w="30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FY2024</w:t>
            </w:r>
          </w:p>
        </w:tc>
        <w:tc>
          <w:tcPr>
            <w:tcW w:type="dxa" w:w="30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FY2025</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Cash &amp; Equivalents ($M)</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~11,800</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24,747</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Total Assets ($M)</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57,062</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92,079</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Accounts Receivable ($M)</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~1,052</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1,579</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Inventory ($M)</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~2,003</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2,416</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Accounts Payable ($M)</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~4,413</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~11,792</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Total Debt (scheduled, $M)</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~13,500</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22,049</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Finance Leases ($M)</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~1,531</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~1,237</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Debt (Cash-Debt, $M)</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(~1,631) Net Cash</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(~1,461) Net Cash</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Shareholders' Equity ($M)</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4,863</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2,573</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Preferred Stock (mezzanine, $M)</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20,941</w:t>
            </w:r>
          </w:p>
        </w:tc>
        <w:tc>
          <w:tcPr>
            <w:tcW w:type="dxa" w:w="30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38,752</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Accumulated Deficit ($M)</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(32,098)</w:t>
            </w:r>
          </w:p>
        </w:tc>
        <w:tc>
          <w:tcPr>
            <w:tcW w:type="dxa" w:w="30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(37,035)</w:t>
            </w:r>
          </w:p>
        </w:tc>
      </w:tr>
    </w:tbl>
    <w:p>
      <w:pPr>
        <w:spacing w:after="120"/>
      </w:pPr>
      <w:r>
        <w:rPr>
          <w:rFonts w:ascii="Arial" w:cs="Arial" w:eastAsia="Arial" w:hAnsi="Arial"/>
          <w:i w:val="false"/>
          <w:iCs w:val="false"/>
          <w:color w:val="000000"/>
          <w:sz w:val="20"/>
          <w:szCs w:val="20"/>
        </w:rPr>
        <w:t xml:space="preserve">Note: Large jump in Accounts Payable from ~$4.4B to ~$11.8B reflects $7.1B of capex accrued-but-unpaid at year-end — a major non-cash investing item.</w:t>
      </w:r>
    </w:p>
    <w:p>
      <w:r>
        <w:br w:type="page"/>
      </w:r>
    </w:p>
    <w:p>
      <w:pPr>
        <w:pStyle w:val="Heading1"/>
        <w:shd w:fill="1F3864" w:val="clear"/>
        <w:spacing w:after="120" w:before="240"/>
      </w:pPr>
      <w:r>
        <w:rPr>
          <w:rFonts w:ascii="Arial" w:cs="Arial" w:eastAsia="Arial" w:hAnsi="Arial"/>
          <w:b/>
          <w:bCs/>
          <w:color w:val="FFFFFF"/>
          <w:sz w:val="36"/>
          <w:szCs w:val="36"/>
        </w:rPr>
        <w:t xml:space="preserve">6. Cash Flow Analysis</w:t>
      </w:r>
    </w:p>
    <w:p>
      <w:pPr>
        <w:pStyle w:val="Heading2"/>
        <w:pBdr>
          <w:bottom w:val="single" w:color="2E75B6" w:sz="4"/>
        </w:pBdr>
        <w:spacing w:after="100" w:before="200"/>
      </w:pPr>
      <w:r>
        <w:rPr>
          <w:rFonts w:ascii="Arial" w:cs="Arial" w:eastAsia="Arial" w:hAnsi="Arial"/>
          <w:b/>
          <w:bCs/>
          <w:color w:val="1F3864"/>
          <w:sz w:val="28"/>
          <w:szCs w:val="28"/>
        </w:rPr>
        <w:t xml:space="preserve">Cash Flow Statement Summary ($ millions)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053"/>
        <w:gridCol w:w="2053"/>
        <w:gridCol w:w="2054"/>
      </w:tblGrid>
      <w:tr>
        <w:tc>
          <w:tcPr>
            <w:tcW w:type="dxa" w:w="3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Cash Flow Item</w:t>
            </w:r>
          </w:p>
        </w:tc>
        <w:tc>
          <w:tcPr>
            <w:tcW w:type="dxa" w:w="2053"/>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FY2023</w:t>
            </w:r>
          </w:p>
        </w:tc>
        <w:tc>
          <w:tcPr>
            <w:tcW w:type="dxa" w:w="2053"/>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FY2024</w:t>
            </w:r>
          </w:p>
        </w:tc>
        <w:tc>
          <w:tcPr>
            <w:tcW w:type="dxa" w:w="2054"/>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FY2025</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Income/(Loss) ($M)</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(4,628)</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791</w:t>
            </w:r>
          </w:p>
        </w:tc>
        <w:tc>
          <w:tcPr>
            <w:tcW w:type="dxa" w:w="2054"/>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(4,937)</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Depreciation &amp; Amortization ($M)</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2,635</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3,824</w:t>
            </w:r>
          </w:p>
        </w:tc>
        <w:tc>
          <w:tcPr>
            <w:tcW w:type="dxa" w:w="2054"/>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6,701</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Share-Based Compensation ($M)</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679</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784</w:t>
            </w:r>
          </w:p>
        </w:tc>
        <w:tc>
          <w:tcPr>
            <w:tcW w:type="dxa" w:w="2054"/>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1,947</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Impairment/Other Non-Cash ($M)</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3,775</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63</w:t>
            </w:r>
          </w:p>
        </w:tc>
        <w:tc>
          <w:tcPr>
            <w:tcW w:type="dxa" w:w="2054"/>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Working Capital Changes ($M)</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2,059</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673</w:t>
            </w:r>
          </w:p>
        </w:tc>
        <w:tc>
          <w:tcPr>
            <w:tcW w:type="dxa" w:w="2054"/>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1,074</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Operating Cash Flow (CFO, $M)</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4,520</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5,776</w:t>
            </w:r>
          </w:p>
        </w:tc>
        <w:tc>
          <w:tcPr>
            <w:tcW w:type="dxa" w:w="2054"/>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6,785</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Capital Expenditures ($M)</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(4,415)</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(11,163)</w:t>
            </w:r>
          </w:p>
        </w:tc>
        <w:tc>
          <w:tcPr>
            <w:tcW w:type="dxa" w:w="2054"/>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(20,737)</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Free Cash Flow (FCF, $M)</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105</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(5,387)</w:t>
            </w:r>
          </w:p>
        </w:tc>
        <w:tc>
          <w:tcPr>
            <w:tcW w:type="dxa" w:w="2054"/>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(13,952)</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Investing Cash Flow ($M)</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(4,867)</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(10,796)</w:t>
            </w:r>
          </w:p>
        </w:tc>
        <w:tc>
          <w:tcPr>
            <w:tcW w:type="dxa" w:w="2054"/>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C00000"/>
                <w:sz w:val="18"/>
                <w:szCs w:val="18"/>
              </w:rPr>
              <w:t xml:space="preserve">(19,575)</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Financing Cash Flow ($M)</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422</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11,830</w:t>
            </w:r>
          </w:p>
        </w:tc>
        <w:tc>
          <w:tcPr>
            <w:tcW w:type="dxa" w:w="2054"/>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26,350</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Change in Cash ($M)</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73</w:t>
            </w:r>
          </w:p>
        </w:tc>
        <w:tc>
          <w:tcPr>
            <w:tcW w:type="dxa" w:w="2053"/>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6,811</w:t>
            </w:r>
          </w:p>
        </w:tc>
        <w:tc>
          <w:tcPr>
            <w:tcW w:type="dxa" w:w="2054"/>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13,623</w:t>
            </w:r>
          </w:p>
        </w:tc>
      </w:tr>
      <w:tr>
        <w:tc>
          <w:tcPr>
            <w:tcW w:type="dxa" w:w="3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Ending Cash ($M)</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~4,690</w:t>
            </w:r>
          </w:p>
        </w:tc>
        <w:tc>
          <w:tcPr>
            <w:tcW w:type="dxa" w:w="2053"/>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~11,501</w:t>
            </w:r>
          </w:p>
        </w:tc>
        <w:tc>
          <w:tcPr>
            <w:tcW w:type="dxa" w:w="2054"/>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~25,124</w:t>
            </w:r>
          </w:p>
        </w:tc>
      </w:tr>
    </w:tbl>
    <w:p>
      <w:pPr>
        <w:spacing w:after="80" w:before="80"/>
      </w:pPr>
      <w:r>
        <w:rPr>
          <w:rFonts w:ascii="Arial" w:cs="Arial" w:eastAsia="Arial" w:hAnsi="Arial"/>
          <w:i w:val="false"/>
          <w:iCs w:val="false"/>
          <w:color w:val="000000"/>
          <w:sz w:val="22"/>
          <w:szCs w:val="22"/>
        </w:rPr>
        <w:t xml:space="preserve"/>
      </w:r>
    </w:p>
    <w:p>
      <w:pPr>
        <w:pStyle w:val="Heading2"/>
        <w:pBdr>
          <w:bottom w:val="single" w:color="2E75B6" w:sz="4"/>
        </w:pBdr>
        <w:spacing w:after="100" w:before="200"/>
      </w:pPr>
      <w:r>
        <w:rPr>
          <w:rFonts w:ascii="Arial" w:cs="Arial" w:eastAsia="Arial" w:hAnsi="Arial"/>
          <w:b/>
          <w:bCs/>
          <w:color w:val="1F3864"/>
          <w:sz w:val="28"/>
          <w:szCs w:val="28"/>
        </w:rPr>
        <w:t xml:space="preserve">Cash Flow Quality Assessment</w:t>
      </w:r>
    </w:p>
    <w:p>
      <w:pPr>
        <w:spacing w:after="160"/>
      </w:pPr>
      <w:r>
        <w:rPr>
          <w:rFonts w:ascii="Arial" w:cs="Arial" w:eastAsia="Arial" w:hAnsi="Arial"/>
          <w:i w:val="false"/>
          <w:iCs w:val="false"/>
          <w:color w:val="000000"/>
          <w:sz w:val="20"/>
          <w:szCs w:val="20"/>
        </w:rPr>
        <w:t xml:space="preserve">Operating cash flow is genuinely strong and improving: $4.5B (2023) → $5.8B (2024) → $6.8B (2025). CFO/Adj. EBITDA ratio in FY2025 is 103%, suggesting high-quality earnings conversion. However, the capex explosion tells a different story: from $4.4B in 2023 to $20.7B in 2025 — a 4.7x increase in just two years. The bulk of this ($12.7B) is the AI segment. Free cash flow has deteriorated from +$105M in FY2023 to -$13.95B in FY2025. Q1 2026 data is alarming: AI segment capex alone was $7.7B in a single quarter — an annualized rate of ~$31B, which would dwarf the company's entire current revenue base.</w:t>
      </w:r>
    </w:p>
    <w:p>
      <w:pPr>
        <w:pStyle w:val="Heading2"/>
        <w:pBdr>
          <w:bottom w:val="single" w:color="2E75B6" w:sz="4"/>
        </w:pBdr>
        <w:spacing w:after="100" w:before="200"/>
      </w:pPr>
      <w:r>
        <w:rPr>
          <w:rFonts w:ascii="Arial" w:cs="Arial" w:eastAsia="Arial" w:hAnsi="Arial"/>
          <w:b/>
          <w:bCs/>
          <w:color w:val="1F3864"/>
          <w:sz w:val="28"/>
          <w:szCs w:val="28"/>
        </w:rPr>
        <w:t xml:space="preserve">Key Cash Flow Checks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CFO is positive and growing — PASS. Profits converted to cash at &gt;100% rate via large non-cash D&amp;A ($6.7B in FY2025)</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FCF is deeply negative (-$14B in FY2025) — FAIL. Company is not self-funding; entirely dependent on external capital</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Financing cash flows show $26.4B raised in FY2025 — mostly equity. IPO raises another $74.4B. Without constant equity issuance, SpaceX cannot fund its stated capex plans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Non-cash capex in AP: $7.1B of FY2025 capex was not yet paid in cash — creates future cash outflow overhang</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No persistent negative CFO — PASS. The business operationally generates cash; the drag is investment spending</w:t>
      </w:r>
    </w:p>
    <w:p>
      <w:r>
        <w:br w:type="page"/>
      </w:r>
    </w:p>
    <w:p>
      <w:pPr>
        <w:pStyle w:val="Heading1"/>
        <w:shd w:fill="1F3864" w:val="clear"/>
        <w:spacing w:after="120" w:before="240"/>
      </w:pPr>
      <w:r>
        <w:rPr>
          <w:rFonts w:ascii="Arial" w:cs="Arial" w:eastAsia="Arial" w:hAnsi="Arial"/>
          <w:b/>
          <w:bCs/>
          <w:color w:val="FFFFFF"/>
          <w:sz w:val="36"/>
          <w:szCs w:val="36"/>
        </w:rPr>
        <w:t xml:space="preserve">7. Working Capital Analysis</w:t>
      </w:r>
    </w:p>
    <w:p>
      <w:pPr>
        <w:pStyle w:val="Heading2"/>
        <w:pBdr>
          <w:bottom w:val="single" w:color="2E75B6" w:sz="4"/>
        </w:pBdr>
        <w:spacing w:after="100" w:before="200"/>
      </w:pPr>
      <w:r>
        <w:rPr>
          <w:rFonts w:ascii="Arial" w:cs="Arial" w:eastAsia="Arial" w:hAnsi="Arial"/>
          <w:b/>
          <w:bCs/>
          <w:color w:val="1F3864"/>
          <w:sz w:val="28"/>
          <w:szCs w:val="28"/>
        </w:rPr>
        <w:t xml:space="preserve">Working Capital Metrics</w:t>
      </w:r>
    </w:p>
    <w:p>
      <w:pPr>
        <w:spacing w:after="160"/>
      </w:pPr>
      <w:r>
        <w:rPr>
          <w:rFonts w:ascii="Arial" w:cs="Arial" w:eastAsia="Arial" w:hAnsi="Arial"/>
          <w:i w:val="false"/>
          <w:iCs w:val="false"/>
          <w:color w:val="000000"/>
          <w:sz w:val="20"/>
          <w:szCs w:val="20"/>
        </w:rPr>
        <w:t xml:space="preserve">Note: Days calculations use FY2025 revenue/COGS. Precise inventory and AP data reflect the FY2025 balance sheet. AR is net of allowances.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930"/>
        <w:gridCol w:w="2930"/>
      </w:tblGrid>
      <w:tr>
        <w:tc>
          <w:tcPr>
            <w:tcW w:type="dxa" w:w="3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Metric</w:t>
            </w:r>
          </w:p>
        </w:tc>
        <w:tc>
          <w:tcPr>
            <w:tcW w:type="dxa" w:w="293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FY2024</w:t>
            </w:r>
          </w:p>
        </w:tc>
        <w:tc>
          <w:tcPr>
            <w:tcW w:type="dxa" w:w="293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FY2025</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Accounts Receivable ($M)</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~1,052</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1,579</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Days Sales Outstanding (DSO)</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~27 days</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~31 days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Inventory ($M)</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~2,003</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2,416</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Days Inventory Outstanding (DIO)</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~91 days (on COGS)</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~93 days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Accounts Payable ($M)</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~4,413</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7F6000"/>
                <w:sz w:val="18"/>
                <w:szCs w:val="18"/>
              </w:rPr>
              <w:t xml:space="preserve">~11,792*</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Days Payable Outstanding (DPO)</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~201 days</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7F6000"/>
                <w:sz w:val="18"/>
                <w:szCs w:val="18"/>
              </w:rPr>
              <w:t xml:space="preserve">~456 days*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Cash Conversion Cycle (DSO+DIO-DPO)</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~(83) days</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7F6000"/>
                <w:sz w:val="18"/>
                <w:szCs w:val="18"/>
              </w:rPr>
              <w:t xml:space="preserve">~(332) days*</w:t>
            </w:r>
          </w:p>
        </w:tc>
      </w:tr>
    </w:tbl>
    <w:p>
      <w:pPr>
        <w:spacing w:after="120"/>
      </w:pPr>
      <w:r>
        <w:rPr>
          <w:rFonts w:ascii="Arial" w:cs="Arial" w:eastAsia="Arial" w:hAnsi="Arial"/>
          <w:i w:val="false"/>
          <w:iCs w:val="false"/>
          <w:color w:val="000000"/>
          <w:sz w:val="20"/>
          <w:szCs w:val="20"/>
        </w:rPr>
        <w:t xml:space="preserve">* The extraordinary DPO and negative CCC in FY2025 are primarily driven by $7.1B of capex-related payables in AP, not operating working capital. Excluding capex-AP, the operating AP is ~$4.7B and DPO is ~$182 days — still high but reflective of SpaceX's leverage over suppliers.</w:t>
      </w:r>
    </w:p>
    <w:p>
      <w:pPr>
        <w:spacing w:after="160"/>
      </w:pPr>
      <w:r>
        <w:rPr>
          <w:rFonts w:ascii="Arial" w:cs="Arial" w:eastAsia="Arial" w:hAnsi="Arial"/>
          <w:i w:val="false"/>
          <w:iCs w:val="false"/>
          <w:color w:val="000000"/>
          <w:sz w:val="20"/>
          <w:szCs w:val="20"/>
        </w:rPr>
        <w:t xml:space="preserve">DSO is rising modestly (27→31 days) — acceptable given the revenue mix shift toward government contracts. No meaningful receivables concern. Inventory has grown proportionally with revenue. The working capital picture is generally clean from an operating perspective.</w:t>
      </w:r>
    </w:p>
    <w:p>
      <w:r>
        <w:br w:type="page"/>
      </w:r>
    </w:p>
    <w:p>
      <w:pPr>
        <w:pStyle w:val="Heading1"/>
        <w:shd w:fill="1F3864" w:val="clear"/>
        <w:spacing w:after="120" w:before="240"/>
      </w:pPr>
      <w:r>
        <w:rPr>
          <w:rFonts w:ascii="Arial" w:cs="Arial" w:eastAsia="Arial" w:hAnsi="Arial"/>
          <w:b/>
          <w:bCs/>
          <w:color w:val="FFFFFF"/>
          <w:sz w:val="36"/>
          <w:szCs w:val="36"/>
        </w:rPr>
        <w:t xml:space="preserve">8. Customer &amp; Supplier Analysis</w:t>
      </w:r>
    </w:p>
    <w:p>
      <w:pPr>
        <w:pStyle w:val="Heading2"/>
        <w:pBdr>
          <w:bottom w:val="single" w:color="2E75B6" w:sz="4"/>
        </w:pBdr>
        <w:spacing w:after="100" w:before="200"/>
      </w:pPr>
      <w:r>
        <w:rPr>
          <w:rFonts w:ascii="Arial" w:cs="Arial" w:eastAsia="Arial" w:hAnsi="Arial"/>
          <w:b/>
          <w:bCs/>
          <w:color w:val="1F3864"/>
          <w:sz w:val="28"/>
          <w:szCs w:val="28"/>
        </w:rPr>
        <w:t xml:space="preserve">Customer Concentration</w:t>
      </w:r>
    </w:p>
    <w:p>
      <w:pPr>
        <w:spacing w:after="160"/>
      </w:pPr>
      <w:r>
        <w:rPr>
          <w:rFonts w:ascii="Arial" w:cs="Arial" w:eastAsia="Arial" w:hAnsi="Arial"/>
          <w:i w:val="false"/>
          <w:iCs w:val="false"/>
          <w:color w:val="000000"/>
          <w:sz w:val="20"/>
          <w:szCs w:val="20"/>
        </w:rPr>
        <w:t xml:space="preserve">SpaceX's customer base differs by segment. In Space, the U.S. government (NASA, DoD, NSSL) represents a significant concentration — SpaceX launched all five U.S. ISS crew and cargo missions in 2025 and 11 of 12 NSSL missions. The prospectus does not disclose precise government revenue concentration percentages. In Connectivity, the business is highly diversified across 10.3 million paying subscribers globally, with no single customer materially large. Enterprise and Government Solutions clients are also diversified across sectors. In AI, xAI's largest client is reportedly Anthropic (leasing Colossus at ~$1.25B/month), creating an unusual dynamic where SpaceX profits from its direct AI competitor.</w:t>
      </w:r>
    </w:p>
    <w:p>
      <w:pPr>
        <w:pStyle w:val="ListParagraph"/>
        <w:numPr>
          <w:ilvl w:val="0"/>
          <w:numId w:val="2"/>
        </w:numPr>
        <w:spacing w:after="80"/>
      </w:pPr>
      <w:r>
        <w:rPr>
          <w:rFonts w:ascii="Arial" w:cs="Arial" w:eastAsia="Arial" w:hAnsi="Arial"/>
          <w:i w:val="false"/>
          <w:iCs w:val="false"/>
          <w:color w:val="000000"/>
          <w:sz w:val="20"/>
          <w:szCs w:val="20"/>
        </w:rPr>
        <w:t xml:space="preserve">Space: U.S. government customer concentration is material but not disclosed precisely — estimated &gt;40% of Space segment revenue</w:t>
      </w:r>
    </w:p>
    <w:p>
      <w:pPr>
        <w:pStyle w:val="ListParagraph"/>
        <w:numPr>
          <w:ilvl w:val="0"/>
          <w:numId w:val="2"/>
        </w:numPr>
        <w:spacing w:after="80"/>
      </w:pPr>
      <w:r>
        <w:rPr>
          <w:rFonts w:ascii="Arial" w:cs="Arial" w:eastAsia="Arial" w:hAnsi="Arial"/>
          <w:i w:val="false"/>
          <w:iCs w:val="false"/>
          <w:color w:val="000000"/>
          <w:sz w:val="20"/>
          <w:szCs w:val="20"/>
        </w:rPr>
        <w:t xml:space="preserve">Connectivity: Highly diversified across 10.3M subscribers — very low individual customer concentration risk</w:t>
      </w:r>
    </w:p>
    <w:p>
      <w:pPr>
        <w:pStyle w:val="ListParagraph"/>
        <w:numPr>
          <w:ilvl w:val="0"/>
          <w:numId w:val="2"/>
        </w:numPr>
        <w:spacing w:after="80"/>
      </w:pPr>
      <w:r>
        <w:rPr>
          <w:rFonts w:ascii="Arial" w:cs="Arial" w:eastAsia="Arial" w:hAnsi="Arial"/>
          <w:i w:val="false"/>
          <w:iCs w:val="false"/>
          <w:color w:val="000000"/>
          <w:sz w:val="20"/>
          <w:szCs w:val="20"/>
        </w:rPr>
        <w:t xml:space="preserve">AI: Colossus-Anthropic lease is a single large customer (~$15B/year annualized), with inherent conflict as Anthropic competes with Grok</w:t>
      </w:r>
    </w:p>
    <w:p>
      <w:pPr>
        <w:pStyle w:val="Heading2"/>
        <w:pBdr>
          <w:bottom w:val="single" w:color="2E75B6" w:sz="4"/>
        </w:pBdr>
        <w:spacing w:after="100" w:before="200"/>
      </w:pPr>
      <w:r>
        <w:rPr>
          <w:rFonts w:ascii="Arial" w:cs="Arial" w:eastAsia="Arial" w:hAnsi="Arial"/>
          <w:b/>
          <w:bCs/>
          <w:color w:val="1F3864"/>
          <w:sz w:val="28"/>
          <w:szCs w:val="28"/>
        </w:rPr>
        <w:t xml:space="preserve">Supplier Concentration</w:t>
      </w:r>
    </w:p>
    <w:p>
      <w:pPr>
        <w:spacing w:after="160"/>
      </w:pPr>
      <w:r>
        <w:rPr>
          <w:rFonts w:ascii="Arial" w:cs="Arial" w:eastAsia="Arial" w:hAnsi="Arial"/>
          <w:i w:val="false"/>
          <w:iCs w:val="false"/>
          <w:color w:val="000000"/>
          <w:sz w:val="20"/>
          <w:szCs w:val="20"/>
        </w:rPr>
        <w:t xml:space="preserve">SpaceX's vertical integration strategy minimises supplier concentration risk in most areas — it designs and manufactures its own engines (Merlin, Raptor), avionics, satellites, and user terminals. Key external dependencies include NVIDIA GPUs (for AI training infrastructure, where supply constraints are a global issue), semiconductor components, raw materials (steel, carbon fibre, propellants), and government-controlled launch sites. The Terafab initiative (SpaceX + Tesla + Intel) is partly aimed at reducing GPU supply dependency long-term.</w:t>
      </w:r>
    </w:p>
    <w:p>
      <w:pPr>
        <w:pStyle w:val="Heading2"/>
        <w:pBdr>
          <w:bottom w:val="single" w:color="2E75B6" w:sz="4"/>
        </w:pBdr>
        <w:spacing w:after="100" w:before="200"/>
      </w:pPr>
      <w:r>
        <w:rPr>
          <w:rFonts w:ascii="Arial" w:cs="Arial" w:eastAsia="Arial" w:hAnsi="Arial"/>
          <w:b/>
          <w:bCs/>
          <w:color w:val="1F3864"/>
          <w:sz w:val="28"/>
          <w:szCs w:val="28"/>
        </w:rPr>
        <w:t xml:space="preserve">Risk Assessment</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Government contract renewal risk is real: loss of NASA CRS, NSSL Phase 2 contracts would meaningfully impair Space segment revenue</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Anthropic lease creates conflict: if Grok competes more aggressively with Claude, Anthropic may not renew Colossus lease</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GPU supply: NVIDIA concentration risk for AI segment; Terafab is 2-3+ years away from being relevant</w:t>
      </w:r>
    </w:p>
    <w:p>
      <w:r>
        <w:br w:type="page"/>
      </w:r>
    </w:p>
    <w:p>
      <w:pPr>
        <w:pStyle w:val="Heading1"/>
        <w:shd w:fill="1F3864" w:val="clear"/>
        <w:spacing w:after="120" w:before="240"/>
      </w:pPr>
      <w:r>
        <w:rPr>
          <w:rFonts w:ascii="Arial" w:cs="Arial" w:eastAsia="Arial" w:hAnsi="Arial"/>
          <w:b/>
          <w:bCs/>
          <w:color w:val="FFFFFF"/>
          <w:sz w:val="36"/>
          <w:szCs w:val="36"/>
        </w:rPr>
        <w:t xml:space="preserve">9. Promoter &amp; Management Analysis</w:t>
      </w:r>
    </w:p>
    <w:p>
      <w:pPr>
        <w:pStyle w:val="Heading2"/>
        <w:pBdr>
          <w:bottom w:val="single" w:color="2E75B6" w:sz="4"/>
        </w:pBdr>
        <w:spacing w:after="100" w:before="200"/>
      </w:pPr>
      <w:r>
        <w:rPr>
          <w:rFonts w:ascii="Arial" w:cs="Arial" w:eastAsia="Arial" w:hAnsi="Arial"/>
          <w:b/>
          <w:bCs/>
          <w:color w:val="1F3864"/>
          <w:sz w:val="28"/>
          <w:szCs w:val="28"/>
        </w:rPr>
        <w:t xml:space="preserve">Key Executives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1980"/>
        <w:gridCol w:w="2980"/>
      </w:tblGrid>
      <w:tr>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Name</w:t>
            </w:r>
          </w:p>
        </w:tc>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Title</w:t>
            </w:r>
          </w:p>
        </w:tc>
        <w:tc>
          <w:tcPr>
            <w:tcW w:type="dxa" w:w="19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FY2025 Comp.</w:t>
            </w:r>
          </w:p>
        </w:tc>
        <w:tc>
          <w:tcPr>
            <w:tcW w:type="dxa" w:w="298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Assessment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Elon Musk</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CEO, CTO, Chairman</w:t>
            </w:r>
          </w:p>
        </w:tc>
        <w:tc>
          <w:tcPr>
            <w:tcW w:type="dxa" w:w="19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$54,080 (salary only)</w:t>
            </w:r>
          </w:p>
        </w:tc>
        <w:tc>
          <w:tcPr>
            <w:tcW w:type="dxa" w:w="29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Visionary founder; $0 comp is optics — wealth via equity. Controls 82.4% of votes. Distraction risk across Tesla, X, DOGE, Boring Co., Neuralink.</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Gwynne Shotwell</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President &amp; COO</w:t>
            </w:r>
          </w:p>
        </w:tc>
        <w:tc>
          <w:tcPr>
            <w:tcW w:type="dxa" w:w="19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~$85.8M (equity heavy)</w:t>
            </w:r>
          </w:p>
        </w:tc>
        <w:tc>
          <w:tcPr>
            <w:tcW w:type="dxa" w:w="298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Operational backbone of SpaceX. 26+ years at company. Critical continuity anchor — arguably more operationally important than Musk for day-to-day.</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Bret Johnsen</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CFO</w:t>
            </w:r>
          </w:p>
        </w:tc>
        <w:tc>
          <w:tcPr>
            <w:tcW w:type="dxa" w:w="19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~$9.8M</w:t>
            </w:r>
          </w:p>
        </w:tc>
        <w:tc>
          <w:tcPr>
            <w:tcW w:type="dxa" w:w="298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Appointed CFO in 2017. Strong financial discipline on Space and Connectivity; less tested on AI integration complexity.</w:t>
            </w:r>
          </w:p>
        </w:tc>
      </w:tr>
    </w:tbl>
    <w:p>
      <w:pPr>
        <w:spacing w:after="80" w:before="80"/>
      </w:pPr>
      <w:r>
        <w:rPr>
          <w:rFonts w:ascii="Arial" w:cs="Arial" w:eastAsia="Arial" w:hAnsi="Arial"/>
          <w:i w:val="false"/>
          <w:iCs w:val="false"/>
          <w:color w:val="000000"/>
          <w:sz w:val="22"/>
          <w:szCs w:val="22"/>
        </w:rPr>
        <w:t xml:space="preserve"/>
      </w:r>
    </w:p>
    <w:p>
      <w:pPr>
        <w:pStyle w:val="Heading2"/>
        <w:pBdr>
          <w:bottom w:val="single" w:color="2E75B6" w:sz="4"/>
        </w:pBdr>
        <w:spacing w:after="100" w:before="200"/>
      </w:pPr>
      <w:r>
        <w:rPr>
          <w:rFonts w:ascii="Arial" w:cs="Arial" w:eastAsia="Arial" w:hAnsi="Arial"/>
          <w:b/>
          <w:bCs/>
          <w:color w:val="1F3864"/>
          <w:sz w:val="28"/>
          <w:szCs w:val="28"/>
        </w:rPr>
        <w:t xml:space="preserve">Musk Compensation — The Real Picture</w:t>
      </w:r>
    </w:p>
    <w:p>
      <w:pPr>
        <w:spacing w:after="160"/>
      </w:pPr>
      <w:r>
        <w:rPr>
          <w:rFonts w:ascii="Arial" w:cs="Arial" w:eastAsia="Arial" w:hAnsi="Arial"/>
          <w:i w:val="false"/>
          <w:iCs w:val="false"/>
          <w:color w:val="000000"/>
          <w:sz w:val="20"/>
          <w:szCs w:val="20"/>
        </w:rPr>
        <w:t xml:space="preserve">Elon Musk received $54,080 in salary in FY2025. However, the board approved on January 13, 2026 a grant of 1 billion performance-based restricted Class B shares (10x voting) vesting across 15 tranches tied to market cap milestones ranging from $500B to $7.5 trillion, conditioned also on establishing a human colony on Mars of 1 million+ inhabitants. The grant date fair value is not disclosed in the preliminary prospectus (blanked out) but at $135/share, 1 billion shares has a face value of $135 billion. Additionally, a separate 302 million performance-based Class B shares were granted linked to non-Earth data center capacity milestones. These are among the largest equity awards ever contemplated in corporate history.</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Musk's compensation package is designed to align his interests with extreme long-run value creation — but also creates perverse incentives to make risky bets (Mars, orbital AI compute) that might benefit him personally while destroying shareholder value if they fail</w:t>
      </w:r>
    </w:p>
    <w:p>
      <w:pPr>
        <w:pStyle w:val="Heading2"/>
        <w:pBdr>
          <w:bottom w:val="single" w:color="2E75B6" w:sz="4"/>
        </w:pBdr>
        <w:spacing w:after="100" w:before="200"/>
      </w:pPr>
      <w:r>
        <w:rPr>
          <w:rFonts w:ascii="Arial" w:cs="Arial" w:eastAsia="Arial" w:hAnsi="Arial"/>
          <w:b/>
          <w:bCs/>
          <w:color w:val="1F3864"/>
          <w:sz w:val="28"/>
          <w:szCs w:val="28"/>
        </w:rPr>
        <w:t xml:space="preserve">Shareholding Pre/Post IPO</w:t>
      </w:r>
    </w:p>
    <w:p>
      <w:pPr>
        <w:spacing w:after="160"/>
      </w:pPr>
      <w:r>
        <w:rPr>
          <w:rFonts w:ascii="Arial" w:cs="Arial" w:eastAsia="Arial" w:hAnsi="Arial"/>
          <w:i w:val="false"/>
          <w:iCs w:val="false"/>
          <w:color w:val="000000"/>
          <w:sz w:val="20"/>
          <w:szCs w:val="20"/>
        </w:rPr>
        <w:t xml:space="preserve">Pre-IPO: Musk held ~42% of equity and ~80% voting power. Post-IPO: Class A shareholders gain economic ownership but Class B (Musk's) retain 10x votes. Musk will hold ~82.4% of voting power post-IPO despite selling no shares. SpaceX will be a 'controlled company' under Nasdaq rules, exempting it from requirements for a majority-independent board, compensation committee composed solely of independent directors, and nominating/governance committee independence requirements.</w:t>
      </w:r>
    </w:p>
    <w:p>
      <w:r>
        <w:br w:type="page"/>
      </w:r>
    </w:p>
    <w:p>
      <w:pPr>
        <w:pStyle w:val="Heading1"/>
        <w:shd w:fill="1F3864" w:val="clear"/>
        <w:spacing w:after="120" w:before="240"/>
      </w:pPr>
      <w:r>
        <w:rPr>
          <w:rFonts w:ascii="Arial" w:cs="Arial" w:eastAsia="Arial" w:hAnsi="Arial"/>
          <w:b/>
          <w:bCs/>
          <w:color w:val="FFFFFF"/>
          <w:sz w:val="36"/>
          <w:szCs w:val="36"/>
        </w:rPr>
        <w:t xml:space="preserve">10. Corporate Governance Assessment</w:t>
      </w:r>
    </w:p>
    <w:p>
      <w:pPr>
        <w:pStyle w:val="Heading2"/>
        <w:pBdr>
          <w:bottom w:val="single" w:color="2E75B6" w:sz="4"/>
        </w:pBdr>
        <w:spacing w:after="100" w:before="200"/>
      </w:pPr>
      <w:r>
        <w:rPr>
          <w:rFonts w:ascii="Arial" w:cs="Arial" w:eastAsia="Arial" w:hAnsi="Arial"/>
          <w:b/>
          <w:bCs/>
          <w:color w:val="1F3864"/>
          <w:sz w:val="28"/>
          <w:szCs w:val="28"/>
        </w:rPr>
        <w:t xml:space="preserve">Board Structure</w:t>
      </w:r>
    </w:p>
    <w:p>
      <w:pPr>
        <w:spacing w:after="160"/>
      </w:pPr>
      <w:r>
        <w:rPr>
          <w:rFonts w:ascii="Arial" w:cs="Arial" w:eastAsia="Arial" w:hAnsi="Arial"/>
          <w:i w:val="false"/>
          <w:iCs w:val="false"/>
          <w:color w:val="000000"/>
          <w:sz w:val="20"/>
          <w:szCs w:val="20"/>
        </w:rPr>
        <w:t xml:space="preserve">SpaceX will be a 'controlled company' post-IPO under Nasdaq rules due to Musk's &gt;50% voting control. This allows the company to rely on exemptions from: (1) majority-independent board requirement, (2) independent compensation committee, and (3) independent nominating/governance committee. In practice, Class B shareholders (Musk) have the right to elect a majority of the board directly. Public Class A shareholders cannot effectively influence board composition, executive pay, related party transactions, or strategic direction.</w:t>
      </w:r>
    </w:p>
    <w:p>
      <w:pPr>
        <w:pStyle w:val="Heading2"/>
        <w:pBdr>
          <w:bottom w:val="single" w:color="2E75B6" w:sz="4"/>
        </w:pBdr>
        <w:spacing w:after="100" w:before="200"/>
      </w:pPr>
      <w:r>
        <w:rPr>
          <w:rFonts w:ascii="Arial" w:cs="Arial" w:eastAsia="Arial" w:hAnsi="Arial"/>
          <w:b/>
          <w:bCs/>
          <w:color w:val="1F3864"/>
          <w:sz w:val="28"/>
          <w:szCs w:val="28"/>
        </w:rPr>
        <w:t xml:space="preserve">Auditor Review</w:t>
      </w:r>
    </w:p>
    <w:p>
      <w:pPr>
        <w:spacing w:after="160"/>
      </w:pPr>
      <w:r>
        <w:rPr>
          <w:rFonts w:ascii="Arial" w:cs="Arial" w:eastAsia="Arial" w:hAnsi="Arial"/>
          <w:i w:val="false"/>
          <w:iCs w:val="false"/>
          <w:color w:val="000000"/>
          <w:sz w:val="20"/>
          <w:szCs w:val="20"/>
        </w:rPr>
        <w:t xml:space="preserve">PricewaterhouseCoopers LLP has served as SpaceX's auditor since 2012 — a long, stable relationship with no changes or resignations. Critical audit matters identified include: (1) Revenue recognition for cost-to-cost contracts in Space and Connectivity segments — involves significant management judgment on total cost at completion, and (2) Fair value measurement of complex equity instruments. No material qualifications or emphasis of matter paragraphs noted. PWC's audit opinion is clean.</w:t>
      </w:r>
    </w:p>
    <w:p>
      <w:pPr>
        <w:pStyle w:val="Heading2"/>
        <w:pBdr>
          <w:bottom w:val="single" w:color="2E75B6" w:sz="4"/>
        </w:pBdr>
        <w:spacing w:after="100" w:before="200"/>
      </w:pPr>
      <w:r>
        <w:rPr>
          <w:rFonts w:ascii="Arial" w:cs="Arial" w:eastAsia="Arial" w:hAnsi="Arial"/>
          <w:b/>
          <w:bCs/>
          <w:color w:val="1F3864"/>
          <w:sz w:val="28"/>
          <w:szCs w:val="28"/>
        </w:rPr>
        <w:t xml:space="preserve">Governance Red Flags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CRITICAL: Dual-class shares — 10 votes per Class B share. Minority shareholders have no effective governance power. Cannot remove Musk, cannot block related-party transactions, cannot influence M&amp;A.</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CRITICAL: Controlled company exemptions — board independence, comp committee, nom/gov committee all exempt from Nasdaq independence requirements.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HIGH: Musk simultaneously runs Tesla, X, xAI (now SpaceX subsidiary), DOGE advisory role, The Boring Company, Neuralink — conflict of interest risk is constant</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MODERATE: Musk's compensation package (1B+ Class B shares) was approved by the board, many of whom he can elect — circular governance</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MODERATE: xAI acquisition was between entities under common control; no arm's-length negotiation; fairness opinion not disclosed</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LOW: Long-tenure auditor (PWC since 2012) — some argue this reduces independence; no concerns flagged</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POSITIVE: No promoter share pledging disclosed</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POSITIVE: New clawback policy adopted in connection with IPO (Nasdaq Rule 10D-1 compliant)</w:t>
      </w:r>
    </w:p>
    <w:p>
      <w:pPr>
        <w:pStyle w:val="Heading2"/>
        <w:pBdr>
          <w:bottom w:val="single" w:color="2E75B6" w:sz="4"/>
        </w:pBdr>
        <w:spacing w:after="100" w:before="200"/>
      </w:pPr>
      <w:r>
        <w:rPr>
          <w:rFonts w:ascii="Arial" w:cs="Arial" w:eastAsia="Arial" w:hAnsi="Arial"/>
          <w:b/>
          <w:bCs/>
          <w:color w:val="1F3864"/>
          <w:sz w:val="28"/>
          <w:szCs w:val="28"/>
        </w:rPr>
        <w:t xml:space="preserve">Governance Score: 3/10</w:t>
      </w:r>
    </w:p>
    <w:p>
      <w:pPr>
        <w:spacing w:after="160"/>
      </w:pPr>
      <w:r>
        <w:rPr>
          <w:rFonts w:ascii="Arial" w:cs="Arial" w:eastAsia="Arial" w:hAnsi="Arial"/>
          <w:i w:val="false"/>
          <w:iCs w:val="false"/>
          <w:color w:val="000000"/>
          <w:sz w:val="20"/>
          <w:szCs w:val="20"/>
        </w:rPr>
        <w:t xml:space="preserve">SpaceX's governance is structurally weak for a public company. The dual-class structure is permanent (no sunset clause disclosed), Musk controls the board, the controlled company exemptions remove standard institutional protections, and the related-party complexity (xAI, Tesla, X) creates ongoing conflict of interest risk. Investors buying SpaceX Class A shares are effectively making a bet on Elon Musk personally — with no institutional guardrails.</w:t>
      </w:r>
    </w:p>
    <w:p>
      <w:r>
        <w:br w:type="page"/>
      </w:r>
    </w:p>
    <w:p>
      <w:pPr>
        <w:pStyle w:val="Heading1"/>
        <w:shd w:fill="1F3864" w:val="clear"/>
        <w:spacing w:after="120" w:before="240"/>
      </w:pPr>
      <w:r>
        <w:rPr>
          <w:rFonts w:ascii="Arial" w:cs="Arial" w:eastAsia="Arial" w:hAnsi="Arial"/>
          <w:b/>
          <w:bCs/>
          <w:color w:val="FFFFFF"/>
          <w:sz w:val="36"/>
          <w:szCs w:val="36"/>
        </w:rPr>
        <w:t xml:space="preserve">11. Related Party Transactions</w:t>
      </w:r>
    </w:p>
    <w:p>
      <w:pPr>
        <w:spacing w:after="160"/>
      </w:pPr>
      <w:r>
        <w:rPr>
          <w:rFonts w:ascii="Arial" w:cs="Arial" w:eastAsia="Arial" w:hAnsi="Arial"/>
          <w:i w:val="false"/>
          <w:iCs w:val="false"/>
          <w:color w:val="000000"/>
          <w:sz w:val="20"/>
          <w:szCs w:val="20"/>
        </w:rPr>
        <w:t xml:space="preserve">SpaceX's related party transactions are unusually complex given Musk's simultaneous control of multiple entities that interact with SpaceX commercially.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200"/>
        <w:gridCol w:w="2760"/>
      </w:tblGrid>
      <w:tr>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Entity</w:t>
            </w:r>
          </w:p>
        </w:tc>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Relationship</w:t>
            </w:r>
          </w:p>
        </w:tc>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Transaction</w:t>
            </w:r>
          </w:p>
        </w:tc>
        <w:tc>
          <w:tcPr>
            <w:tcW w:type="dxa" w:w="27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Concern Level</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xAI / X Corp.</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Common control (Musk)</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Merged into SpaceX FY2026; retrospectively recast financials. No arm's-length pricing.</w:t>
            </w:r>
          </w:p>
        </w:tc>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HIGH — $38.8B in preferred stock transferred; no disclosed fairness opinion</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Anthropic</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xAI competitor / Colossus lessee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Colossus data center leased at ~$1.25B/month</w:t>
            </w:r>
          </w:p>
        </w:tc>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7F6000"/>
                <w:sz w:val="18"/>
                <w:szCs w:val="18"/>
              </w:rPr>
              <w:t xml:space="preserve">MEDIUM — Profitable for SpaceX but creates strategic conflict with Grok</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Tesla / Terafab</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Musk-controlled entity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Joint chip manufacturing initiative (Intel also involved); no specific terms disclosed</w:t>
            </w:r>
          </w:p>
        </w:tc>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7F6000"/>
                <w:sz w:val="18"/>
                <w:szCs w:val="18"/>
              </w:rPr>
              <w:t xml:space="preserve">MEDIUM — Potential for cross-subsidization or IP sharing with related entity</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Colossus / CTC</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xAI subsidiary</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Sale-leaseback of AI infrastructure; $455M current, $4.05B long-term related-party debt on balance sheet</w:t>
            </w:r>
          </w:p>
        </w:tc>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HIGH — $4.5B related-party financing may not be at market rates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X Holdings</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Common control</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xAI acquired X; integrated real-time data feed for Grok training — proprietary advantage to X platform</w:t>
            </w:r>
          </w:p>
        </w:tc>
        <w:tc>
          <w:tcPr>
            <w:tcW w:type="dxa" w:w="27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LOW-MEDIUM — Commercially rationale but self-dealing structure</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Related Party PP&amp;E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Various Musk entities</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$666M PP&amp;E purchases from related parties in FY2025</w:t>
            </w:r>
          </w:p>
        </w:tc>
        <w:tc>
          <w:tcPr>
            <w:tcW w:type="dxa" w:w="27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7F6000"/>
                <w:sz w:val="18"/>
                <w:szCs w:val="18"/>
              </w:rPr>
              <w:t xml:space="preserve">MEDIUM — Pricing fairness unverified</w:t>
            </w:r>
          </w:p>
        </w:tc>
      </w:tr>
    </w:tbl>
    <w:p>
      <w:r>
        <w:br w:type="page"/>
      </w:r>
    </w:p>
    <w:p>
      <w:pPr>
        <w:pStyle w:val="Heading1"/>
        <w:shd w:fill="1F3864" w:val="clear"/>
        <w:spacing w:after="120" w:before="240"/>
      </w:pPr>
      <w:r>
        <w:rPr>
          <w:rFonts w:ascii="Arial" w:cs="Arial" w:eastAsia="Arial" w:hAnsi="Arial"/>
          <w:b/>
          <w:bCs/>
          <w:color w:val="FFFFFF"/>
          <w:sz w:val="36"/>
          <w:szCs w:val="36"/>
        </w:rPr>
        <w:t xml:space="preserve">12. Litigation &amp; Regulatory Analysis</w:t>
      </w:r>
    </w:p>
    <w:p>
      <w:pPr>
        <w:pStyle w:val="Heading2"/>
        <w:pBdr>
          <w:bottom w:val="single" w:color="2E75B6" w:sz="4"/>
        </w:pBdr>
        <w:spacing w:after="100" w:before="200"/>
      </w:pPr>
      <w:r>
        <w:rPr>
          <w:rFonts w:ascii="Arial" w:cs="Arial" w:eastAsia="Arial" w:hAnsi="Arial"/>
          <w:b/>
          <w:bCs/>
          <w:color w:val="1F3864"/>
          <w:sz w:val="28"/>
          <w:szCs w:val="28"/>
        </w:rPr>
        <w:t xml:space="preserve">Key Regulatory Risks</w:t>
      </w:r>
    </w:p>
    <w:p>
      <w:pPr>
        <w:pStyle w:val="ListParagraph"/>
        <w:numPr>
          <w:ilvl w:val="0"/>
          <w:numId w:val="2"/>
        </w:numPr>
        <w:spacing w:after="80"/>
      </w:pPr>
      <w:r>
        <w:rPr>
          <w:rFonts w:ascii="Arial" w:cs="Arial" w:eastAsia="Arial" w:hAnsi="Arial"/>
          <w:i w:val="false"/>
          <w:iCs w:val="false"/>
          <w:color w:val="000000"/>
          <w:sz w:val="20"/>
          <w:szCs w:val="20"/>
        </w:rPr>
        <w:t xml:space="preserve">FAA: Starship launch licenses require case-by-case environmental review. FAA approval timelines have historically been a bottleneck for Starship. Any launch mishap could trigger extended grounding periods.</w:t>
      </w:r>
    </w:p>
    <w:p>
      <w:pPr>
        <w:pStyle w:val="ListParagraph"/>
        <w:numPr>
          <w:ilvl w:val="0"/>
          <w:numId w:val="2"/>
        </w:numPr>
        <w:spacing w:after="80"/>
      </w:pPr>
      <w:r>
        <w:rPr>
          <w:rFonts w:ascii="Arial" w:cs="Arial" w:eastAsia="Arial" w:hAnsi="Arial"/>
          <w:i w:val="false"/>
          <w:iCs w:val="false"/>
          <w:color w:val="000000"/>
          <w:sz w:val="20"/>
          <w:szCs w:val="20"/>
        </w:rPr>
        <w:t xml:space="preserve">FCC / ITU: Starlink's global spectrum authorizations require country-by-country FCC/ITU coordination. EchoStar spectrum acquisition (Starlink Mobile 5G bands n66/n70) is pending regulatory closing.</w:t>
      </w:r>
    </w:p>
    <w:p>
      <w:pPr>
        <w:pStyle w:val="ListParagraph"/>
        <w:numPr>
          <w:ilvl w:val="0"/>
          <w:numId w:val="2"/>
        </w:numPr>
        <w:spacing w:after="80"/>
      </w:pPr>
      <w:r>
        <w:rPr>
          <w:rFonts w:ascii="Arial" w:cs="Arial" w:eastAsia="Arial" w:hAnsi="Arial"/>
          <w:i w:val="false"/>
          <w:iCs w:val="false"/>
          <w:color w:val="000000"/>
          <w:sz w:val="20"/>
          <w:szCs w:val="20"/>
        </w:rPr>
        <w:t xml:space="preserve">ITAR/Export Controls: SpaceX's technology is subject to strict ITAR controls; any inadvertent export violation could result in significant penalties.</w:t>
      </w:r>
    </w:p>
    <w:p>
      <w:pPr>
        <w:pStyle w:val="ListParagraph"/>
        <w:numPr>
          <w:ilvl w:val="0"/>
          <w:numId w:val="2"/>
        </w:numPr>
        <w:spacing w:after="80"/>
      </w:pPr>
      <w:r>
        <w:rPr>
          <w:rFonts w:ascii="Arial" w:cs="Arial" w:eastAsia="Arial" w:hAnsi="Arial"/>
          <w:i w:val="false"/>
          <w:iCs w:val="false"/>
          <w:color w:val="000000"/>
          <w:sz w:val="20"/>
          <w:szCs w:val="20"/>
        </w:rPr>
        <w:t xml:space="preserve">AI Regulation: Grok and xAI AI products face emerging regulation in EU (AI Act), UK, and potentially U.S. (executive orders). Content moderation of X platform is a material regulatory risk in multiple jurisdictions.</w:t>
      </w:r>
    </w:p>
    <w:p>
      <w:pPr>
        <w:pStyle w:val="ListParagraph"/>
        <w:numPr>
          <w:ilvl w:val="0"/>
          <w:numId w:val="2"/>
        </w:numPr>
        <w:spacing w:after="80"/>
      </w:pPr>
      <w:r>
        <w:rPr>
          <w:rFonts w:ascii="Arial" w:cs="Arial" w:eastAsia="Arial" w:hAnsi="Arial"/>
          <w:i w:val="false"/>
          <w:iCs w:val="false"/>
          <w:color w:val="000000"/>
          <w:sz w:val="20"/>
          <w:szCs w:val="20"/>
        </w:rPr>
        <w:t xml:space="preserve">National Security: SpaceX's dual role as primary U.S. government launch provider while Musk holds a controversial political profile creates headline and contractual risk — a politically adverse administration could threaten SpaceX's government contract pipeline.</w:t>
      </w:r>
    </w:p>
    <w:p>
      <w:pPr>
        <w:pStyle w:val="Heading2"/>
        <w:pBdr>
          <w:bottom w:val="single" w:color="2E75B6" w:sz="4"/>
        </w:pBdr>
        <w:spacing w:after="100" w:before="200"/>
      </w:pPr>
      <w:r>
        <w:rPr>
          <w:rFonts w:ascii="Arial" w:cs="Arial" w:eastAsia="Arial" w:hAnsi="Arial"/>
          <w:b/>
          <w:bCs/>
          <w:color w:val="1F3864"/>
          <w:sz w:val="28"/>
          <w:szCs w:val="28"/>
        </w:rPr>
        <w:t xml:space="preserve">Litigation Assessment</w:t>
      </w:r>
    </w:p>
    <w:p>
      <w:pPr>
        <w:spacing w:after="160"/>
      </w:pPr>
      <w:r>
        <w:rPr>
          <w:rFonts w:ascii="Arial" w:cs="Arial" w:eastAsia="Arial" w:hAnsi="Arial"/>
          <w:i w:val="false"/>
          <w:iCs w:val="false"/>
          <w:color w:val="000000"/>
          <w:sz w:val="20"/>
          <w:szCs w:val="20"/>
        </w:rPr>
        <w:t xml:space="preserve">The prospectus discloses various legal proceedings as is standard for a company of this size. No single case appears material to the company's financial condition. Tax disputes and government contract disputes are likely but not specifically quantified. The company's rapid growth and transformation (acquisition of xAI/X) creates elevated integration risk and potential for undisclosed contingent liabilities related to X's historical content moderation practices and data privacy issues.</w:t>
      </w:r>
    </w:p>
    <w:p>
      <w:r>
        <w:br w:type="page"/>
      </w:r>
    </w:p>
    <w:p>
      <w:pPr>
        <w:pStyle w:val="Heading1"/>
        <w:shd w:fill="1F3864" w:val="clear"/>
        <w:spacing w:after="120" w:before="240"/>
      </w:pPr>
      <w:r>
        <w:rPr>
          <w:rFonts w:ascii="Arial" w:cs="Arial" w:eastAsia="Arial" w:hAnsi="Arial"/>
          <w:b/>
          <w:bCs/>
          <w:color w:val="FFFFFF"/>
          <w:sz w:val="36"/>
          <w:szCs w:val="36"/>
        </w:rPr>
        <w:t xml:space="preserve">13. Shareholding &amp; Capital Structure</w:t>
      </w:r>
    </w:p>
    <w:p>
      <w:pPr>
        <w:pStyle w:val="Heading2"/>
        <w:pBdr>
          <w:bottom w:val="single" w:color="2E75B6" w:sz="4"/>
        </w:pBdr>
        <w:spacing w:after="100" w:before="200"/>
      </w:pPr>
      <w:r>
        <w:rPr>
          <w:rFonts w:ascii="Arial" w:cs="Arial" w:eastAsia="Arial" w:hAnsi="Arial"/>
          <w:b/>
          <w:bCs/>
          <w:color w:val="1F3864"/>
          <w:sz w:val="28"/>
          <w:szCs w:val="28"/>
        </w:rPr>
        <w:t xml:space="preserve">Pre-IPO Capital Structure</w:t>
      </w:r>
    </w:p>
    <w:p>
      <w:pPr>
        <w:spacing w:after="160"/>
      </w:pPr>
      <w:r>
        <w:rPr>
          <w:rFonts w:ascii="Arial" w:cs="Arial" w:eastAsia="Arial" w:hAnsi="Arial"/>
          <w:i w:val="false"/>
          <w:iCs w:val="false"/>
          <w:color w:val="000000"/>
          <w:sz w:val="20"/>
          <w:szCs w:val="20"/>
        </w:rPr>
        <w:t xml:space="preserve">SpaceX had a complex multi-class capital structure pre-IPO, with Class A, B, C, and D common stock plus 16 series of SpaceX preferred stock and 6 series of xAI preferred stock. All preferred stock converts to common stock upon the Qualified IPO. Class C shares (non-voting, used for employee compensation) are reclassified to Class A as part of the IPO. Class D shares (no shares issued or outstanding) were a placeholder. Post-conversion and reclassification, only Class A (1 vote) and Class B (10 votes) remain.</w:t>
      </w:r>
    </w:p>
    <w:p>
      <w:pPr>
        <w:pStyle w:val="Heading2"/>
        <w:pBdr>
          <w:bottom w:val="single" w:color="2E75B6" w:sz="4"/>
        </w:pBdr>
        <w:spacing w:after="100" w:before="200"/>
      </w:pPr>
      <w:r>
        <w:rPr>
          <w:rFonts w:ascii="Arial" w:cs="Arial" w:eastAsia="Arial" w:hAnsi="Arial"/>
          <w:b/>
          <w:bCs/>
          <w:color w:val="1F3864"/>
          <w:sz w:val="28"/>
          <w:szCs w:val="28"/>
        </w:rPr>
        <w:t xml:space="preserve">Post-IPO Voting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20"/>
        <w:gridCol w:w="2120"/>
        <w:gridCol w:w="2120"/>
      </w:tblGrid>
      <w:tr>
        <w:tc>
          <w:tcPr>
            <w:tcW w:type="dxa" w:w="30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Class</w:t>
            </w:r>
          </w:p>
        </w:tc>
        <w:tc>
          <w:tcPr>
            <w:tcW w:type="dxa" w:w="212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Voting Power</w:t>
            </w:r>
          </w:p>
        </w:tc>
        <w:tc>
          <w:tcPr>
            <w:tcW w:type="dxa" w:w="212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Key Holders</w:t>
            </w:r>
          </w:p>
        </w:tc>
        <w:tc>
          <w:tcPr>
            <w:tcW w:type="dxa" w:w="212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 Votes (est.)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Class A (IPO shares + public)</w:t>
            </w:r>
          </w:p>
        </w:tc>
        <w:tc>
          <w:tcPr>
            <w:tcW w:type="dxa" w:w="21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 vote/share</w:t>
            </w:r>
          </w:p>
        </w:tc>
        <w:tc>
          <w:tcPr>
            <w:tcW w:type="dxa" w:w="21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Public investors, employees</w:t>
            </w:r>
          </w:p>
        </w:tc>
        <w:tc>
          <w:tcPr>
            <w:tcW w:type="dxa" w:w="21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~17.6%</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Class B (Musk's shares)</w:t>
            </w:r>
          </w:p>
        </w:tc>
        <w:tc>
          <w:tcPr>
            <w:tcW w:type="dxa" w:w="212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10 votes/share</w:t>
            </w:r>
          </w:p>
        </w:tc>
        <w:tc>
          <w:tcPr>
            <w:tcW w:type="dxa" w:w="212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Elon Musk primarily</w:t>
            </w:r>
          </w:p>
        </w:tc>
        <w:tc>
          <w:tcPr>
            <w:tcW w:type="dxa" w:w="212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~82.4%</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Total</w:t>
            </w:r>
          </w:p>
        </w:tc>
        <w:tc>
          <w:tcPr>
            <w:tcW w:type="dxa" w:w="21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21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212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100%</w:t>
            </w:r>
          </w:p>
        </w:tc>
      </w:tr>
    </w:tbl>
    <w:p>
      <w:pPr>
        <w:spacing w:after="80" w:before="80"/>
      </w:pPr>
      <w:r>
        <w:rPr>
          <w:rFonts w:ascii="Arial" w:cs="Arial" w:eastAsia="Arial" w:hAnsi="Arial"/>
          <w:i w:val="false"/>
          <w:iCs w:val="false"/>
          <w:color w:val="000000"/>
          <w:sz w:val="22"/>
          <w:szCs w:val="22"/>
        </w:rPr>
        <w:t xml:space="preserve"/>
      </w:r>
    </w:p>
    <w:p>
      <w:pPr>
        <w:spacing w:after="160"/>
      </w:pPr>
      <w:r>
        <w:rPr>
          <w:rFonts w:ascii="Arial" w:cs="Arial" w:eastAsia="Arial" w:hAnsi="Arial"/>
          <w:i w:val="false"/>
          <w:iCs w:val="false"/>
          <w:color w:val="000000"/>
          <w:sz w:val="20"/>
          <w:szCs w:val="20"/>
        </w:rPr>
        <w:t xml:space="preserve">Elon Musk holds approximately 82.4% of total voting power post-IPO. For all practical purposes, SpaceX is a founder-controlled company where the public market has minority economic interest with zero governance power. The 1 billion Class B performance shares (if earned) would further entrench Musk's voting dominance.</w:t>
      </w:r>
    </w:p>
    <w:p>
      <w:pPr>
        <w:pStyle w:val="Heading2"/>
        <w:pBdr>
          <w:bottom w:val="single" w:color="2E75B6" w:sz="4"/>
        </w:pBdr>
        <w:spacing w:after="100" w:before="200"/>
      </w:pPr>
      <w:r>
        <w:rPr>
          <w:rFonts w:ascii="Arial" w:cs="Arial" w:eastAsia="Arial" w:hAnsi="Arial"/>
          <w:b/>
          <w:bCs/>
          <w:color w:val="1F3864"/>
          <w:sz w:val="28"/>
          <w:szCs w:val="28"/>
        </w:rPr>
        <w:t xml:space="preserve">Investor Overhang Risk</w:t>
      </w:r>
    </w:p>
    <w:p>
      <w:pPr>
        <w:spacing w:after="160"/>
      </w:pPr>
      <w:r>
        <w:rPr>
          <w:rFonts w:ascii="Arial" w:cs="Arial" w:eastAsia="Arial" w:hAnsi="Arial"/>
          <w:i w:val="false"/>
          <w:iCs w:val="false"/>
          <w:color w:val="000000"/>
          <w:sz w:val="20"/>
          <w:szCs w:val="20"/>
        </w:rPr>
        <w:t xml:space="preserve">SpaceX has raised over $9B+ in pre-IPO equity from Founders Fund, Andreessen Horowitz, Sequoia, Fidelity, and other VCs/institutional investors. These holders are subject to lock-up periods post-IPO, but upon lock-up expiry, could represent significant selling pressure. Additionally, the 16 series of preferred stock converting to common creates a large equity base. Investors should monitor lock-up expiry dates carefully.</w:t>
      </w:r>
    </w:p>
    <w:p>
      <w:r>
        <w:br w:type="page"/>
      </w:r>
    </w:p>
    <w:p>
      <w:pPr>
        <w:pStyle w:val="Heading1"/>
        <w:shd w:fill="1F3864" w:val="clear"/>
        <w:spacing w:after="120" w:before="240"/>
      </w:pPr>
      <w:r>
        <w:rPr>
          <w:rFonts w:ascii="Arial" w:cs="Arial" w:eastAsia="Arial" w:hAnsi="Arial"/>
          <w:b/>
          <w:bCs/>
          <w:color w:val="FFFFFF"/>
          <w:sz w:val="36"/>
          <w:szCs w:val="36"/>
        </w:rPr>
        <w:t xml:space="preserve">14. Peer Comparison</w:t>
      </w:r>
    </w:p>
    <w:p>
      <w:pPr>
        <w:pStyle w:val="Heading2"/>
        <w:pBdr>
          <w:bottom w:val="single" w:color="2E75B6" w:sz="4"/>
        </w:pBdr>
        <w:spacing w:after="100" w:before="200"/>
      </w:pPr>
      <w:r>
        <w:rPr>
          <w:rFonts w:ascii="Arial" w:cs="Arial" w:eastAsia="Arial" w:hAnsi="Arial"/>
          <w:b/>
          <w:bCs/>
          <w:color w:val="1F3864"/>
          <w:sz w:val="28"/>
          <w:szCs w:val="28"/>
        </w:rPr>
        <w:t xml:space="preserve">Comparable Companies Analysis</w:t>
      </w:r>
    </w:p>
    <w:p>
      <w:pPr>
        <w:spacing w:after="160"/>
      </w:pPr>
      <w:r>
        <w:rPr>
          <w:rFonts w:ascii="Arial" w:cs="Arial" w:eastAsia="Arial" w:hAnsi="Arial"/>
          <w:i w:val="false"/>
          <w:iCs w:val="false"/>
          <w:color w:val="000000"/>
          <w:sz w:val="20"/>
          <w:szCs w:val="20"/>
        </w:rPr>
        <w:t xml:space="preserve">SpaceX is genuinely incomparable as a business — no listed company combines space launch, satellite broadband, and AI at this scale. The table below uses segment-appropriate peers as proxies for each business line, weighted by segment contribution.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160"/>
        <w:gridCol w:w="1160"/>
        <w:gridCol w:w="1160"/>
        <w:gridCol w:w="1160"/>
        <w:gridCol w:w="1160"/>
        <w:gridCol w:w="1360"/>
      </w:tblGrid>
      <w:tr>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Metric</w:t>
            </w:r>
          </w:p>
        </w:tc>
        <w:tc>
          <w:tcPr>
            <w:tcW w:type="dxa" w:w="1160"/>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SpaceX</w:t>
            </w:r>
          </w:p>
        </w:tc>
        <w:tc>
          <w:tcPr>
            <w:tcW w:type="dxa" w:w="11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Boeing</w:t>
            </w:r>
          </w:p>
        </w:tc>
        <w:tc>
          <w:tcPr>
            <w:tcW w:type="dxa" w:w="11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Northrop Gr.</w:t>
            </w:r>
          </w:p>
        </w:tc>
        <w:tc>
          <w:tcPr>
            <w:tcW w:type="dxa" w:w="11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T-Mobile</w:t>
            </w:r>
          </w:p>
        </w:tc>
        <w:tc>
          <w:tcPr>
            <w:tcW w:type="dxa" w:w="11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NVIDIA</w:t>
            </w:r>
          </w:p>
        </w:tc>
        <w:tc>
          <w:tcPr>
            <w:tcW w:type="dxa" w:w="13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Palantir</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($B)</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$18.7B</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$66B</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$41B</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$80B</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$130B</w:t>
            </w:r>
          </w:p>
        </w:tc>
        <w:tc>
          <w:tcPr>
            <w:tcW w:type="dxa" w:w="1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$4B</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Growth</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+33%</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-14%</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+122%</w:t>
            </w:r>
          </w:p>
        </w:tc>
        <w:tc>
          <w:tcPr>
            <w:tcW w:type="dxa" w:w="1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+39%</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EBITDA Margin</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35.2%*</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~5%</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~14%</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~35%</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~65%</w:t>
            </w:r>
          </w:p>
        </w:tc>
        <w:tc>
          <w:tcPr>
            <w:tcW w:type="dxa" w:w="1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~37%</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Net Margin</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-26%</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56%</w:t>
            </w:r>
          </w:p>
        </w:tc>
        <w:tc>
          <w:tcPr>
            <w:tcW w:type="dxa" w:w="1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27%</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EV/Revenue</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94.6x</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0.6x</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1.7x</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2.3x</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22x</w:t>
            </w:r>
          </w:p>
        </w:tc>
        <w:tc>
          <w:tcPr>
            <w:tcW w:type="dxa" w:w="1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43x</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EV/EBITDA</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268x*</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~12x</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~12x</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~7x</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~34x</w:t>
            </w:r>
          </w:p>
        </w:tc>
        <w:tc>
          <w:tcPr>
            <w:tcW w:type="dxa" w:w="1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~117x</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P/E</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N/M</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N/M</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17x</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21x</w:t>
            </w:r>
          </w:p>
        </w:tc>
        <w:tc>
          <w:tcPr>
            <w:tcW w:type="dxa" w:w="11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36x</w:t>
            </w:r>
          </w:p>
        </w:tc>
        <w:tc>
          <w:tcPr>
            <w:tcW w:type="dxa" w:w="1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175x</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Market Cap ($T)</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1F3864"/>
                <w:sz w:val="18"/>
                <w:szCs w:val="18"/>
              </w:rPr>
              <w:t xml:space="preserve">~$1.77T</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$0.09T</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$0.06T</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$0.30T</w:t>
            </w:r>
          </w:p>
        </w:tc>
        <w:tc>
          <w:tcPr>
            <w:tcW w:type="dxa" w:w="11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~$3.5T</w:t>
            </w:r>
          </w:p>
        </w:tc>
        <w:tc>
          <w:tcPr>
            <w:tcW w:type="dxa" w:w="1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$0.30T</w:t>
            </w:r>
          </w:p>
        </w:tc>
      </w:tr>
    </w:tbl>
    <w:p>
      <w:pPr>
        <w:spacing w:after="120"/>
      </w:pPr>
      <w:r>
        <w:rPr>
          <w:rFonts w:ascii="Arial" w:cs="Arial" w:eastAsia="Arial" w:hAnsi="Arial"/>
          <w:i w:val="false"/>
          <w:iCs w:val="false"/>
          <w:color w:val="000000"/>
          <w:sz w:val="20"/>
          <w:szCs w:val="20"/>
        </w:rPr>
        <w:t xml:space="preserve">* SpaceX Adj. EBITDA margin uses non-GAAP metric; GAAP operating margin is -13.9%.  SpaceX's EV/Revenue of 94.6x vs. peers of 0.6x–43x illustrates the extreme valuation premium embedded in the offering price. Only Palantir (at 43x EV/Revenue) is in a comparable range — and Palantir is profitable and growing faster.</w:t>
      </w:r>
    </w:p>
    <w:p>
      <w:r>
        <w:br w:type="page"/>
      </w:r>
    </w:p>
    <w:p>
      <w:pPr>
        <w:pStyle w:val="Heading1"/>
        <w:shd w:fill="1F3864" w:val="clear"/>
        <w:spacing w:after="120" w:before="240"/>
      </w:pPr>
      <w:r>
        <w:rPr>
          <w:rFonts w:ascii="Arial" w:cs="Arial" w:eastAsia="Arial" w:hAnsi="Arial"/>
          <w:b/>
          <w:bCs/>
          <w:color w:val="FFFFFF"/>
          <w:sz w:val="36"/>
          <w:szCs w:val="36"/>
        </w:rPr>
        <w:t xml:space="preserve">15. Valuation Analysis</w:t>
      </w:r>
    </w:p>
    <w:p>
      <w:pPr>
        <w:pStyle w:val="Heading2"/>
        <w:pBdr>
          <w:bottom w:val="single" w:color="2E75B6" w:sz="4"/>
        </w:pBdr>
        <w:spacing w:after="100" w:before="200"/>
      </w:pPr>
      <w:r>
        <w:rPr>
          <w:rFonts w:ascii="Arial" w:cs="Arial" w:eastAsia="Arial" w:hAnsi="Arial"/>
          <w:b/>
          <w:bCs/>
          <w:color w:val="1F3864"/>
          <w:sz w:val="28"/>
          <w:szCs w:val="28"/>
        </w:rPr>
        <w:t xml:space="preserve">IPO Pricing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930"/>
        <w:gridCol w:w="2930"/>
      </w:tblGrid>
      <w:tr>
        <w:tc>
          <w:tcPr>
            <w:tcW w:type="dxa" w:w="3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Valuation Metric</w:t>
            </w:r>
          </w:p>
        </w:tc>
        <w:tc>
          <w:tcPr>
            <w:tcW w:type="dxa" w:w="293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SpaceX at $135</w:t>
            </w:r>
          </w:p>
        </w:tc>
        <w:tc>
          <w:tcPr>
            <w:tcW w:type="dxa" w:w="293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Assessment</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Market Capitalisation</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~$1,767B (~$1.77T)</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7F6000"/>
                <w:sz w:val="18"/>
                <w:szCs w:val="18"/>
              </w:rPr>
              <w:t xml:space="preserve">Largest IPO market cap in history</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Enterprise Value</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~$1,766B (near net cash)</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Effectively = market cap</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EV / FY2025 Revenue</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94.6x</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EXPENSIVE — 2–100x peers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EV / FY2025 Adj. EBITDA</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268.8x</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VERY EXPENSIVE — 8–40x peers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EV / Q1 2026 Annualised Revenue</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~94x</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No improvement on trailing</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Price / FY2026E Revenue*</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~50–60x</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EXPENSIVE even on forward</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PEG Ratio</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Not Meaningful</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GAAP losses preclude PE/PEG</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Price / Book (post IPO)</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~28x</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Heavily goodwill/intangible driven</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Damodaran Intrinsic Value (equity)</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~$1,250–1,300B</w:t>
            </w:r>
          </w:p>
        </w:tc>
        <w:tc>
          <w:tcPr>
            <w:tcW w:type="dxa" w:w="293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35–40% ABOVE intrinsic value</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Intrinsic Value Per Share (Damodaran)</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375623"/>
                <w:sz w:val="18"/>
                <w:szCs w:val="18"/>
              </w:rPr>
              <w:t xml:space="preserve">~$95–100</w:t>
            </w:r>
          </w:p>
        </w:tc>
        <w:tc>
          <w:tcPr>
            <w:tcW w:type="dxa" w:w="293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$135 offering = 35–42% premium</w:t>
            </w:r>
          </w:p>
        </w:tc>
      </w:tr>
    </w:tbl>
    <w:p>
      <w:pPr>
        <w:spacing w:after="120"/>
      </w:pPr>
      <w:r>
        <w:rPr>
          <w:rFonts w:ascii="Arial" w:cs="Arial" w:eastAsia="Arial" w:hAnsi="Arial"/>
          <w:i w:val="false"/>
          <w:iCs w:val="false"/>
          <w:color w:val="000000"/>
          <w:sz w:val="20"/>
          <w:szCs w:val="20"/>
        </w:rPr>
        <w:t xml:space="preserve">* FY2026E Revenue estimate based on Q1 2026 run rate ($4.7B × 4 = $18.8B) + Anthropic Colossus lease ($15B annualized) = ~$33–35B, but significant uncertainty.</w:t>
      </w:r>
    </w:p>
    <w:p>
      <w:pPr>
        <w:pStyle w:val="Heading2"/>
        <w:pBdr>
          <w:bottom w:val="single" w:color="2E75B6" w:sz="4"/>
        </w:pBdr>
        <w:spacing w:after="100" w:before="200"/>
      </w:pPr>
      <w:r>
        <w:rPr>
          <w:rFonts w:ascii="Arial" w:cs="Arial" w:eastAsia="Arial" w:hAnsi="Arial"/>
          <w:b/>
          <w:bCs/>
          <w:color w:val="1F3864"/>
          <w:sz w:val="28"/>
          <w:szCs w:val="28"/>
        </w:rPr>
        <w:t xml:space="preserve">Damodaran DCF Valuation Summary</w:t>
      </w:r>
    </w:p>
    <w:p>
      <w:pPr>
        <w:spacing w:after="160"/>
      </w:pPr>
      <w:r>
        <w:rPr>
          <w:rFonts w:ascii="Arial" w:cs="Arial" w:eastAsia="Arial" w:hAnsi="Arial"/>
          <w:i w:val="false"/>
          <w:iCs w:val="false"/>
          <w:color w:val="000000"/>
          <w:sz w:val="20"/>
          <w:szCs w:val="20"/>
        </w:rPr>
        <w:t xml:space="preserve">Professor Aswath Damodaran (NYU Stern) published two valuations: a pre-prospectus estimate (April 2026) and a post-prospectus update (June 2026). His post-prospectus framework values SpaceX by segment: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690"/>
        <w:gridCol w:w="1690"/>
        <w:gridCol w:w="1690"/>
        <w:gridCol w:w="1690"/>
      </w:tblGrid>
      <w:tr>
        <w:tc>
          <w:tcPr>
            <w:tcW w:type="dxa" w:w="26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Segment</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2036 Revenue Target</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Op. Margin Target</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Post-Prosp. Change</w:t>
            </w:r>
          </w:p>
        </w:tc>
        <w:tc>
          <w:tcPr>
            <w:tcW w:type="dxa" w:w="169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Damodaran View</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Space Launch</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$70B (70% of $100B mkt)</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45%</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Margin ↑ (40%→45%)</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Bullish on moat</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Connectivity (Starlink)</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$120B (75% of $160B mkt)</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60%</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Unchanged</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Very bullish</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AI (xAI/Grok)</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$160B (incl. enterprise)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25%</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Rev ↑, Margin ↓ (45%→25%)</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Concerned on execution</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Expansion Options</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$50B</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30%</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Unchanged</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Option value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Enterprise Value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~$1.22T</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~$1.22T</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Below IPO price</w:t>
            </w:r>
          </w:p>
        </w:tc>
      </w:tr>
      <w:tr>
        <w:tc>
          <w:tcPr>
            <w:tcW w:type="dxa" w:w="26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 IPO Proceeds</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+$74.4B</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w:t>
            </w:r>
          </w:p>
        </w:tc>
        <w:tc>
          <w:tcPr>
            <w:tcW w:type="dxa" w:w="169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 Equity Value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~$1.30T</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val="false"/>
                <w:bCs w:val="false"/>
                <w:color w:val="000000"/>
                <w:sz w:val="18"/>
                <w:szCs w:val="18"/>
              </w:rPr>
              <w:t xml:space="preserve">—</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~$1.30T</w:t>
            </w:r>
          </w:p>
        </w:tc>
        <w:tc>
          <w:tcPr>
            <w:tcW w:type="dxa" w:w="169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~$100/share</w:t>
            </w:r>
          </w:p>
        </w:tc>
      </w:tr>
    </w:tbl>
    <w:p>
      <w:pPr>
        <w:spacing w:after="80" w:before="80"/>
      </w:pPr>
      <w:r>
        <w:rPr>
          <w:rFonts w:ascii="Arial" w:cs="Arial" w:eastAsia="Arial" w:hAnsi="Arial"/>
          <w:i w:val="false"/>
          <w:iCs w:val="false"/>
          <w:color w:val="000000"/>
          <w:sz w:val="22"/>
          <w:szCs w:val="22"/>
        </w:rPr>
        <w:t xml:space="preserve"/>
      </w:r>
    </w:p>
    <w:p>
      <w:pPr>
        <w:pStyle w:val="Heading2"/>
        <w:pBdr>
          <w:bottom w:val="single" w:color="2E75B6" w:sz="4"/>
        </w:pBdr>
        <w:spacing w:after="100" w:before="200"/>
      </w:pPr>
      <w:r>
        <w:rPr>
          <w:rFonts w:ascii="Arial" w:cs="Arial" w:eastAsia="Arial" w:hAnsi="Arial"/>
          <w:b/>
          <w:bCs/>
          <w:color w:val="1F3864"/>
          <w:sz w:val="28"/>
          <w:szCs w:val="28"/>
        </w:rPr>
        <w:t xml:space="preserve">Valuation Verdict</w:t>
      </w:r>
    </w:p>
    <w:p>
      <w:pPr>
        <w:spacing w:after="160"/>
      </w:pPr>
      <w:r>
        <w:rPr>
          <w:rFonts w:ascii="Arial" w:cs="Arial" w:eastAsia="Arial" w:hAnsi="Arial"/>
          <w:i w:val="false"/>
          <w:iCs w:val="false"/>
          <w:color w:val="000000"/>
          <w:sz w:val="20"/>
          <w:szCs w:val="20"/>
        </w:rPr>
        <w:t xml:space="preserve">At $135/share, SpaceX is priced for near-perfection. The offering price embeds all of the bull case for Connectivity, a successful Starship commercial launch by H2 2026, Grok becoming a top-3 AI platform, and continued government contract dominance — simultaneously. Damodaran's simulation of 10,000 scenarios showed a median value of ~$1.29T, meaning the $135/share offering price ($1.77T) falls in approximately the top 10–15% of his distribution. The stock is not a fraud or a worthless venture — it is genuinely worth $1.2–1.3T. But at $135, you are paying $1.77T for $1.3T of value, leaving 35% downside if investor sentiment normalises to intrinsic value.</w:t>
      </w:r>
    </w:p>
    <w:p>
      <w:r>
        <w:br w:type="page"/>
      </w:r>
    </w:p>
    <w:p>
      <w:pPr>
        <w:pStyle w:val="Heading1"/>
        <w:shd w:fill="1F3864" w:val="clear"/>
        <w:spacing w:after="120" w:before="240"/>
      </w:pPr>
      <w:r>
        <w:rPr>
          <w:rFonts w:ascii="Arial" w:cs="Arial" w:eastAsia="Arial" w:hAnsi="Arial"/>
          <w:b/>
          <w:bCs/>
          <w:color w:val="FFFFFF"/>
          <w:sz w:val="36"/>
          <w:szCs w:val="36"/>
        </w:rPr>
        <w:t xml:space="preserve">16. Forensic Accounting &amp; Fraud Risk Assessment</w:t>
      </w:r>
    </w:p>
    <w:p>
      <w:pPr>
        <w:pStyle w:val="Heading2"/>
        <w:pBdr>
          <w:bottom w:val="single" w:color="2E75B6" w:sz="4"/>
        </w:pBdr>
        <w:spacing w:after="100" w:before="200"/>
      </w:pPr>
      <w:r>
        <w:rPr>
          <w:rFonts w:ascii="Arial" w:cs="Arial" w:eastAsia="Arial" w:hAnsi="Arial"/>
          <w:b/>
          <w:bCs/>
          <w:color w:val="1F3864"/>
          <w:sz w:val="28"/>
          <w:szCs w:val="28"/>
        </w:rPr>
        <w:t xml:space="preserve">Earnings Quality Checks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CFO/Net Income: FY2025 CFO of $6.8B vs. Net Loss of $4.9B — the difference is primarily driven by large non-cash D&amp;A ($6.7B), SBC ($1.9B), and working capital changes. This is not a red flag — it reflects appropriate expensing of massive depreciation on a heavy-asset business. PASS.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Revenue recognition: Space and Connectivity segments use cost-to-cost revenue recognition for multi-year contracts — an area requiring significant management judgment (PWC flagged as critical audit matter). No specific evidence of aggressive recognition. MONITOR.</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Other income dependence: No material dependence on non-operating income. Interest income of $492M in FY2025 on $24.7B cash is reasonable. PASS.</w:t>
      </w:r>
    </w:p>
    <w:p>
      <w:pPr>
        <w:pStyle w:val="Heading2"/>
        <w:pBdr>
          <w:bottom w:val="single" w:color="2E75B6" w:sz="4"/>
        </w:pBdr>
        <w:spacing w:after="100" w:before="200"/>
      </w:pPr>
      <w:r>
        <w:rPr>
          <w:rFonts w:ascii="Arial" w:cs="Arial" w:eastAsia="Arial" w:hAnsi="Arial"/>
          <w:b/>
          <w:bCs/>
          <w:color w:val="1F3864"/>
          <w:sz w:val="28"/>
          <w:szCs w:val="28"/>
        </w:rPr>
        <w:t xml:space="preserve">Revenue Quality</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Receivables growth: AR grew from ~$1.05B (FY2024) to $1.58B (FY2025) while revenue grew 33.3% — AR grew proportionally. DSO increased modestly (27→31 days). No evidence of channel stuffing or revenue pulling. PASS.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Deferred revenue: Deferred revenue grew significantly ($4.68B current + long-term in FY2024 vs. ~$6.0B in FY2025), consistent with Starlink subscription growth and advance payments on government contracts. Healthy forward indicator. PASS.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Sudden revenue spike: FY2025 revenue growth of 33.3% is high but explainable — Connectivity grew 49.8% driven by verified subscriber growth from 5M to 10M+. No anomalous pattern. PASS.</w:t>
      </w:r>
    </w:p>
    <w:p>
      <w:pPr>
        <w:pStyle w:val="Heading2"/>
        <w:pBdr>
          <w:bottom w:val="single" w:color="2E75B6" w:sz="4"/>
        </w:pBdr>
        <w:spacing w:after="100" w:before="200"/>
      </w:pPr>
      <w:r>
        <w:rPr>
          <w:rFonts w:ascii="Arial" w:cs="Arial" w:eastAsia="Arial" w:hAnsi="Arial"/>
          <w:b/>
          <w:bCs/>
          <w:color w:val="1F3864"/>
          <w:sz w:val="28"/>
          <w:szCs w:val="28"/>
        </w:rPr>
        <w:t xml:space="preserve">Balance Sheet Quality</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Goodwill: $11.8B of goodwill on the FY2025 balance sheet (vs. $11.1B FY2024) — primarily from xAI/X acquisition. Since this was a common-control transaction with no new goodwill recorded (historical carrying value only), the goodwill reflects historical X acquisition costs by Musk. No impairment recorded. MONITOR — X's intrinsic value is unclear.</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Intangible assets: $1.6B in net intangibles (spectrum licenses, customer relationships). No unusual buildup. PASS.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PP&amp;E growth: $42.6B net PP&amp;E in FY2025 vs. $21.1B in FY2024 — reflects massive AI compute infrastructure build. Supported by disclosed capex. No unexplained asset growth. PASS.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AP explosion: $11.8B AP vs. $4.4B prior year — $7.1B is disclosed as capex-in-AP. Consistent with disclosed non-cash investing disclosures. PASS.</w:t>
      </w:r>
    </w:p>
    <w:p>
      <w:pPr>
        <w:pStyle w:val="Heading2"/>
        <w:pBdr>
          <w:bottom w:val="single" w:color="2E75B6" w:sz="4"/>
        </w:pBdr>
        <w:spacing w:after="100" w:before="200"/>
      </w:pPr>
      <w:r>
        <w:rPr>
          <w:rFonts w:ascii="Arial" w:cs="Arial" w:eastAsia="Arial" w:hAnsi="Arial"/>
          <w:b/>
          <w:bCs/>
          <w:color w:val="1F3864"/>
          <w:sz w:val="28"/>
          <w:szCs w:val="28"/>
        </w:rPr>
        <w:t xml:space="preserve">Governance Signals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Auditor: No changes. PWC since 2012. No qualifications. PASS.</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Promoter transactions: xAI merger at common-control book values is unusual and could have transferred value to/from SpaceX shareholders. No arm's-length test possible. MONITOR.</w:t>
      </w:r>
    </w:p>
    <w:p>
      <w:pPr>
        <w:pStyle w:val="ListParagraph"/>
        <w:numPr>
          <w:ilvl w:val="0"/>
          <w:numId w:val="2"/>
        </w:numPr>
        <w:spacing w:after="80"/>
      </w:pPr>
      <w:r>
        <w:rPr>
          <w:rFonts w:ascii="Arial" w:cs="Arial" w:eastAsia="Arial" w:hAnsi="Arial"/>
          <w:b/>
          <w:bCs/>
          <w:sz w:val="20"/>
          <w:szCs w:val="20"/>
        </w:rPr>
        <w:t xml:space="preserve">⚠️ </w:t>
      </w:r>
      <w:r>
        <w:rPr>
          <w:rFonts w:ascii="Arial" w:cs="Arial" w:eastAsia="Arial" w:hAnsi="Arial"/>
          <w:i w:val="false"/>
          <w:iCs w:val="false"/>
          <w:color w:val="000000"/>
          <w:sz w:val="20"/>
          <w:szCs w:val="20"/>
        </w:rPr>
        <w:t xml:space="preserve">Frequent restructuring: Restructuring charges of $487M (FY2025), $213M (FY2024), $237M (FY2023) — three consecutive years of restructuring. The charges relate to facilities consolidation (presumably Twitter/X integration), not operational distress. MONITOR.</w:t>
      </w:r>
    </w:p>
    <w:p>
      <w:pPr>
        <w:pStyle w:val="Heading2"/>
        <w:pBdr>
          <w:bottom w:val="single" w:color="2E75B6" w:sz="4"/>
        </w:pBdr>
        <w:spacing w:after="100" w:before="200"/>
      </w:pPr>
      <w:r>
        <w:rPr>
          <w:rFonts w:ascii="Arial" w:cs="Arial" w:eastAsia="Arial" w:hAnsi="Arial"/>
          <w:b/>
          <w:bCs/>
          <w:color w:val="1F3864"/>
          <w:sz w:val="28"/>
          <w:szCs w:val="28"/>
        </w:rPr>
        <w:t xml:space="preserve">Fraud Risk Assessment: LOW–MODERATE</w:t>
      </w:r>
    </w:p>
    <w:p>
      <w:pPr>
        <w:spacing w:after="160"/>
      </w:pPr>
      <w:r>
        <w:rPr>
          <w:rFonts w:ascii="Arial" w:cs="Arial" w:eastAsia="Arial" w:hAnsi="Arial"/>
          <w:i w:val="false"/>
          <w:iCs w:val="false"/>
          <w:color w:val="000000"/>
          <w:sz w:val="20"/>
          <w:szCs w:val="20"/>
        </w:rPr>
        <w:t xml:space="preserve">Overall, the forensic analysis does not uncover evidence of deliberate earnings manipulation, revenue fabrication, or balance sheet fraud. The major accounting complexity arises from legitimate (if aggressive) business decisions: massive capex in AI, the xAI/X merger at historical cost, and large SBC programmes. The key forensic concern is not fraud but rather the significant management judgment embedded in cost-to-cost revenue recognition and the valuation of assets acquired in the common-control xAI transaction. Governance weaknesses (Musk control, board composition) create the structural conditions under which related-party abuse could occur — but there is no specific evidence of it currently.</w:t>
      </w:r>
    </w:p>
    <w:p>
      <w:r>
        <w:br w:type="page"/>
      </w:r>
    </w:p>
    <w:p>
      <w:pPr>
        <w:pStyle w:val="Heading1"/>
        <w:shd w:fill="1F3864" w:val="clear"/>
        <w:spacing w:after="120" w:before="240"/>
      </w:pPr>
      <w:r>
        <w:rPr>
          <w:rFonts w:ascii="Arial" w:cs="Arial" w:eastAsia="Arial" w:hAnsi="Arial"/>
          <w:b/>
          <w:bCs/>
          <w:color w:val="FFFFFF"/>
          <w:sz w:val="36"/>
          <w:szCs w:val="36"/>
        </w:rPr>
        <w:t xml:space="preserve">17. IPO-Specific Red Flags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2800"/>
        <w:gridCol w:w="3960"/>
        <w:gridCol w:w="2200"/>
      </w:tblGrid>
      <w:tr>
        <w:tc>
          <w:tcPr>
            <w:tcW w:type="dxa" w:w="4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w:t>
            </w:r>
          </w:p>
        </w:tc>
        <w:tc>
          <w:tcPr>
            <w:tcW w:type="dxa" w:w="28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Red Flag</w:t>
            </w:r>
          </w:p>
        </w:tc>
        <w:tc>
          <w:tcPr>
            <w:tcW w:type="dxa" w:w="39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Detail</w:t>
            </w:r>
          </w:p>
        </w:tc>
        <w:tc>
          <w:tcPr>
            <w:tcW w:type="dxa" w:w="22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Severity</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Dual-class share structure (permanent)</w:t>
            </w:r>
          </w:p>
        </w:tc>
        <w:tc>
          <w:tcPr>
            <w:tcW w:type="dxa" w:w="39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Class B has 10x votes; Musk controls 82.4% of votes post-IPO. No sunset clause. Class A = economic participation, zero governance.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CRITICAL 🔴</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Controlled company exemptions</w:t>
            </w:r>
          </w:p>
        </w:tc>
        <w:tc>
          <w:tcPr>
            <w:tcW w:type="dxa" w:w="39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Exempted from Nasdaq board independence, comp committee, and nom/gov committee requirements. Public investors have no meaningful checks on management.</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CRITICAL 🔴</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3</w:t>
            </w:r>
          </w:p>
        </w:tc>
        <w:tc>
          <w:tcPr>
            <w:tcW w:type="dxa" w:w="2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Key-person concentration (Musk)</w:t>
            </w:r>
          </w:p>
        </w:tc>
        <w:tc>
          <w:tcPr>
            <w:tcW w:type="dxa" w:w="39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CEO/CTO/Chairman simultaneously runs Tesla, X, DOGE, Boring Co., Neuralink. Any distraction, incapacitation, or reputational crisis hits SpaceX directly.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CRITICAL 🔴</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4</w:t>
            </w:r>
          </w:p>
        </w:tc>
        <w:tc>
          <w:tcPr>
            <w:tcW w:type="dxa" w:w="28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AI capex trajectory</w:t>
            </w:r>
          </w:p>
        </w:tc>
        <w:tc>
          <w:tcPr>
            <w:tcW w:type="dxa" w:w="39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$7.7B Q1 2026 AI capex alone. Annualised run rate of ~$31B exceeds total company FY2025 revenue ($18.7B). Cash burning at existential pace in unproven segment.</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HIGH 🔴</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5</w:t>
            </w:r>
          </w:p>
        </w:tc>
        <w:tc>
          <w:tcPr>
            <w:tcW w:type="dxa" w:w="2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Common-control xAI merger</w:t>
            </w:r>
          </w:p>
        </w:tc>
        <w:tc>
          <w:tcPr>
            <w:tcW w:type="dxa" w:w="39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xAI and X acquired at historical book values — no arm's-length pricing, no fairness opinion disclosed. Could have transferred value non-transparently.</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HIGH 🔴</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6</w:t>
            </w:r>
          </w:p>
        </w:tc>
        <w:tc>
          <w:tcPr>
            <w:tcW w:type="dxa" w:w="28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Musk equity awards (1B+ Class B shares)</w:t>
            </w:r>
          </w:p>
        </w:tc>
        <w:tc>
          <w:tcPr>
            <w:tcW w:type="dxa" w:w="39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Largest equity grant ever contemplated at ~$135B face value. Board approving it is majority-Musk elected. Circular governance.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HIGH 🔴</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7</w:t>
            </w:r>
          </w:p>
        </w:tc>
        <w:tc>
          <w:tcPr>
            <w:tcW w:type="dxa" w:w="2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Grok competitive position</w:t>
            </w:r>
          </w:p>
        </w:tc>
        <w:tc>
          <w:tcPr>
            <w:tcW w:type="dxa" w:w="39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Grok trails ChatGPT, Claude, Gemini in enterprise adoption. AI TAM of $26T in prospectus is fantasy. Competing against OpenAI, Google, Anthropic with their own infrastructure is an uphill battle.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HIGH 🟠</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8</w:t>
            </w:r>
          </w:p>
        </w:tc>
        <w:tc>
          <w:tcPr>
            <w:tcW w:type="dxa" w:w="28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Colossus-Anthropic conflict</w:t>
            </w:r>
          </w:p>
        </w:tc>
        <w:tc>
          <w:tcPr>
            <w:tcW w:type="dxa" w:w="39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SpaceX profits from leasing compute to Anthropic (Claude's maker) — direct Grok competitor. Creates strategic incoherence: funding the competitor while trying to beat it.</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MEDIUM 🟠</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9</w:t>
            </w:r>
          </w:p>
        </w:tc>
        <w:tc>
          <w:tcPr>
            <w:tcW w:type="dxa" w:w="2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Subscriber ARPU decline</w:t>
            </w:r>
          </w:p>
        </w:tc>
        <w:tc>
          <w:tcPr>
            <w:tcW w:type="dxa" w:w="39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Revenue per Starlink subscriber fell from ~$99/month to ~$66/month in Q1 2026. Volume growth is compensating, but ARPU compression limits long-run margin upside.</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MEDIUM 🟠</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10</w:t>
            </w:r>
          </w:p>
        </w:tc>
        <w:tc>
          <w:tcPr>
            <w:tcW w:type="dxa" w:w="28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Regulatory/political risk</w:t>
            </w:r>
          </w:p>
        </w:tc>
        <w:tc>
          <w:tcPr>
            <w:tcW w:type="dxa" w:w="39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Musk's political profile creates risk to government contracts if administration changes. U.S. government = material % of Space revenue.</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MEDIUM 🟠</w:t>
            </w:r>
          </w:p>
        </w:tc>
      </w:tr>
      <w:tr>
        <w:tc>
          <w:tcPr>
            <w:tcW w:type="dxa" w:w="4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11</w:t>
            </w:r>
          </w:p>
        </w:tc>
        <w:tc>
          <w:tcPr>
            <w:tcW w:type="dxa" w:w="2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Vague use of proceeds</w:t>
            </w:r>
          </w:p>
        </w:tc>
        <w:tc>
          <w:tcPr>
            <w:tcW w:type="dxa" w:w="39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No specific allocation percentages in prospectus. 'General corporate purposes' catch-all. Management has wide discretion over $74.4B.</w:t>
            </w:r>
          </w:p>
        </w:tc>
        <w:tc>
          <w:tcPr>
            <w:tcW w:type="dxa" w:w="22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7F6000"/>
                <w:sz w:val="18"/>
                <w:szCs w:val="18"/>
              </w:rPr>
              <w:t xml:space="preserve">LOW-MEDIUM 🟡</w:t>
            </w:r>
          </w:p>
        </w:tc>
      </w:tr>
      <w:tr>
        <w:tc>
          <w:tcPr>
            <w:tcW w:type="dxa" w:w="4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000000"/>
                <w:sz w:val="18"/>
                <w:szCs w:val="18"/>
              </w:rPr>
              <w:t xml:space="preserve">12</w:t>
            </w:r>
          </w:p>
        </w:tc>
        <w:tc>
          <w:tcPr>
            <w:tcW w:type="dxa" w:w="28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000000"/>
                <w:sz w:val="18"/>
                <w:szCs w:val="18"/>
              </w:rPr>
              <w:t xml:space="preserve">Three consecutive restructuring charges</w:t>
            </w:r>
          </w:p>
        </w:tc>
        <w:tc>
          <w:tcPr>
            <w:tcW w:type="dxa" w:w="39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$237M, $213M, $487M in FY2023-25. Reflects ongoing operational disruption from X/xAI integration.</w:t>
            </w:r>
          </w:p>
        </w:tc>
        <w:tc>
          <w:tcPr>
            <w:tcW w:type="dxa" w:w="22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375623"/>
                <w:sz w:val="18"/>
                <w:szCs w:val="18"/>
              </w:rPr>
              <w:t xml:space="preserve">LOW 🟡</w:t>
            </w:r>
          </w:p>
        </w:tc>
      </w:tr>
    </w:tbl>
    <w:p>
      <w:r>
        <w:br w:type="page"/>
      </w:r>
    </w:p>
    <w:p>
      <w:pPr>
        <w:pStyle w:val="Heading1"/>
        <w:shd w:fill="1F3864" w:val="clear"/>
        <w:spacing w:after="120" w:before="240"/>
      </w:pPr>
      <w:r>
        <w:rPr>
          <w:rFonts w:ascii="Arial" w:cs="Arial" w:eastAsia="Arial" w:hAnsi="Arial"/>
          <w:b/>
          <w:bCs/>
          <w:color w:val="FFFFFF"/>
          <w:sz w:val="36"/>
          <w:szCs w:val="36"/>
        </w:rPr>
        <w:t xml:space="preserve">18. ESG &amp; Sustainability Review</w:t>
      </w:r>
    </w:p>
    <w:p>
      <w:pPr>
        <w:pStyle w:val="Heading2"/>
        <w:pBdr>
          <w:bottom w:val="single" w:color="2E75B6" w:sz="4"/>
        </w:pBdr>
        <w:spacing w:after="100" w:before="200"/>
      </w:pPr>
      <w:r>
        <w:rPr>
          <w:rFonts w:ascii="Arial" w:cs="Arial" w:eastAsia="Arial" w:hAnsi="Arial"/>
          <w:b/>
          <w:bCs/>
          <w:color w:val="1F3864"/>
          <w:sz w:val="28"/>
          <w:szCs w:val="28"/>
        </w:rPr>
        <w:t xml:space="preserve">Environmental</w:t>
      </w:r>
    </w:p>
    <w:p>
      <w:pPr>
        <w:spacing w:after="160"/>
      </w:pPr>
      <w:r>
        <w:rPr>
          <w:rFonts w:ascii="Arial" w:cs="Arial" w:eastAsia="Arial" w:hAnsi="Arial"/>
          <w:i w:val="false"/>
          <w:iCs w:val="false"/>
          <w:color w:val="000000"/>
          <w:sz w:val="20"/>
          <w:szCs w:val="20"/>
        </w:rPr>
        <w:t xml:space="preserve">SpaceX's environmental profile is mixed. On the positive side, reusable rockets dramatically reduce launch waste and material consumption vs. expendable alternatives. Starlink's satellite-to-mobile services reduce the need for terrestrial tower infrastructure buildout in remote areas. However, the AI compute infrastructure (COLOSSUS, COLOSSUS II) consumes enormous amounts of electricity — ~1GW of compute power — raising concerns about carbon footprint, especially given U.S. grid emissions intensity. Water usage for launch operations (flame trench suppression) and data center cooling is significant. Starlink satellite constellation raises concerns from astronomers about light pollution and orbital debris.</w:t>
      </w:r>
    </w:p>
    <w:p>
      <w:pPr>
        <w:pStyle w:val="Heading2"/>
        <w:pBdr>
          <w:bottom w:val="single" w:color="2E75B6" w:sz="4"/>
        </w:pBdr>
        <w:spacing w:after="100" w:before="200"/>
      </w:pPr>
      <w:r>
        <w:rPr>
          <w:rFonts w:ascii="Arial" w:cs="Arial" w:eastAsia="Arial" w:hAnsi="Arial"/>
          <w:b/>
          <w:bCs/>
          <w:color w:val="1F3864"/>
          <w:sz w:val="28"/>
          <w:szCs w:val="28"/>
        </w:rPr>
        <w:t xml:space="preserve">Social</w:t>
      </w:r>
    </w:p>
    <w:p>
      <w:pPr>
        <w:spacing w:after="160"/>
      </w:pPr>
      <w:r>
        <w:rPr>
          <w:rFonts w:ascii="Arial" w:cs="Arial" w:eastAsia="Arial" w:hAnsi="Arial"/>
          <w:i w:val="false"/>
          <w:iCs w:val="false"/>
          <w:color w:val="000000"/>
          <w:sz w:val="20"/>
          <w:szCs w:val="20"/>
        </w:rPr>
        <w:t xml:space="preserve">Starlink's mission to connect 3 billion+ unconnected people to the internet is a genuinely positive social impact narrative. Demonstrated disaster response value (2023 Maui wildfires, 2024 Hurricanes Helene and Milton). Employment of tens of thousands of high-skilled engineers drives economic value. However, SpaceX's workforce culture under Musk has historically been associated with very high stress, long working hours, and safety incidents at launch facilities. The X platform's content moderation policies under Musk's ownership have been controversial.</w:t>
      </w:r>
    </w:p>
    <w:p>
      <w:pPr>
        <w:pStyle w:val="Heading2"/>
        <w:pBdr>
          <w:bottom w:val="single" w:color="2E75B6" w:sz="4"/>
        </w:pBdr>
        <w:spacing w:after="100" w:before="200"/>
      </w:pPr>
      <w:r>
        <w:rPr>
          <w:rFonts w:ascii="Arial" w:cs="Arial" w:eastAsia="Arial" w:hAnsi="Arial"/>
          <w:b/>
          <w:bCs/>
          <w:color w:val="1F3864"/>
          <w:sz w:val="28"/>
          <w:szCs w:val="28"/>
        </w:rPr>
        <w:t xml:space="preserve">Governance</w:t>
      </w:r>
    </w:p>
    <w:p>
      <w:pPr>
        <w:spacing w:after="160"/>
      </w:pPr>
      <w:r>
        <w:rPr>
          <w:rFonts w:ascii="Arial" w:cs="Arial" w:eastAsia="Arial" w:hAnsi="Arial"/>
          <w:i w:val="false"/>
          <w:iCs w:val="false"/>
          <w:color w:val="000000"/>
          <w:sz w:val="20"/>
          <w:szCs w:val="20"/>
        </w:rPr>
        <w:t xml:space="preserve">As analyzed in Section 10, SpaceX's governance is weak for a public company by conventional standards. The company intends to adopt a clawback policy (positive) but otherwise relies on Musk's personal judgment as the primary governance mechanism. There are no disclosed ESG metrics, sustainability reports, or DEI disclosures in the prospectus. For institutional investors with ESG mandates, SpaceX Class A shares may not be compliant.</w:t>
      </w:r>
    </w:p>
    <w:p>
      <w:r>
        <w:br w:type="page"/>
      </w:r>
    </w:p>
    <w:p>
      <w:pPr>
        <w:pStyle w:val="Heading1"/>
        <w:shd w:fill="1F3864" w:val="clear"/>
        <w:spacing w:after="120" w:before="240"/>
      </w:pPr>
      <w:r>
        <w:rPr>
          <w:rFonts w:ascii="Arial" w:cs="Arial" w:eastAsia="Arial" w:hAnsi="Arial"/>
          <w:b/>
          <w:bCs/>
          <w:color w:val="FFFFFF"/>
          <w:sz w:val="36"/>
          <w:szCs w:val="36"/>
        </w:rPr>
        <w:t xml:space="preserve">19. Scenario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287"/>
        <w:gridCol w:w="2286"/>
        <w:gridCol w:w="2287"/>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Parameter</w:t>
            </w:r>
          </w:p>
        </w:tc>
        <w:tc>
          <w:tcPr>
            <w:tcW w:type="dxa" w:w="2287"/>
            <w:tcBorders>
              <w:top w:val="single" w:color="CCCCCC" w:sz="1"/>
              <w:left w:val="single" w:color="CCCCCC" w:sz="1"/>
              <w:bottom w:val="single" w:color="CCCCCC" w:sz="1"/>
              <w:right w:val="single" w:color="CCCCCC" w:sz="1"/>
            </w:tcBorders>
            <w:shd w:fill="375623"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BULL CASE</w:t>
            </w:r>
          </w:p>
        </w:tc>
        <w:tc>
          <w:tcPr>
            <w:tcW w:type="dxa" w:w="2286"/>
            <w:tcBorders>
              <w:top w:val="single" w:color="CCCCCC" w:sz="1"/>
              <w:left w:val="single" w:color="CCCCCC" w:sz="1"/>
              <w:bottom w:val="single" w:color="CCCCCC" w:sz="1"/>
              <w:right w:val="single" w:color="CCCCCC" w:sz="1"/>
            </w:tcBorders>
            <w:shd w:fill="2E75B6"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BASE CASE</w:t>
            </w:r>
          </w:p>
        </w:tc>
        <w:tc>
          <w:tcPr>
            <w:tcW w:type="dxa" w:w="2287"/>
            <w:tcBorders>
              <w:top w:val="single" w:color="CCCCCC" w:sz="1"/>
              <w:left w:val="single" w:color="CCCCCC" w:sz="1"/>
              <w:bottom w:val="single" w:color="CCCCCC" w:sz="1"/>
              <w:right w:val="single" w:color="CCCCCC" w:sz="1"/>
            </w:tcBorders>
            <w:shd w:fill="C00000"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BEAR CASE</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Probability</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375623"/>
                <w:sz w:val="18"/>
                <w:szCs w:val="18"/>
              </w:rPr>
              <w:t xml:space="preserve">20%</w:t>
            </w:r>
          </w:p>
        </w:tc>
        <w:tc>
          <w:tcPr>
            <w:tcW w:type="dxa" w:w="2286"/>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50%</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C00000"/>
                <w:sz w:val="18"/>
                <w:szCs w:val="18"/>
              </w:rPr>
              <w:t xml:space="preserve">30%</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Starship Commercialisation</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H2 2026 — full scale by 2028</w:t>
            </w:r>
          </w:p>
        </w:tc>
        <w:tc>
          <w:tcPr>
            <w:tcW w:type="dxa" w:w="2286"/>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2027 commercial ops</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2029+ delays; cost overruns</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Starlink Subscribers (2030)</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25M+ @ $80/month ARPU</w:t>
            </w:r>
          </w:p>
        </w:tc>
        <w:tc>
          <w:tcPr>
            <w:tcW w:type="dxa" w:w="2286"/>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18M @ $70/month ARPU</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12M @ $55/month ARPU</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Connectivity Revenue (2030)</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$24B+</w:t>
            </w:r>
          </w:p>
        </w:tc>
        <w:tc>
          <w:tcPr>
            <w:tcW w:type="dxa" w:w="2286"/>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$15B</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$8B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AI Segment Outcome</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Grok becomes top-2 LLM; $10B+ revenue by 2028</w:t>
            </w:r>
          </w:p>
        </w:tc>
        <w:tc>
          <w:tcPr>
            <w:tcW w:type="dxa" w:w="2286"/>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Niche consumer AI; $5B revenue by 2028</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AI bet fails; written down; $3B revenue</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Space Launch Revenue (2030)</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$8B+ (Starship capture)</w:t>
            </w:r>
          </w:p>
        </w:tc>
        <w:tc>
          <w:tcPr>
            <w:tcW w:type="dxa" w:w="2286"/>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$6B</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$4.5B</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Adj. EBITDA Margin (2028)</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45%+</w:t>
            </w:r>
          </w:p>
        </w:tc>
        <w:tc>
          <w:tcPr>
            <w:tcW w:type="dxa" w:w="2286"/>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38%</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22%</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Fair Value per Share</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$180–220</w:t>
            </w:r>
          </w:p>
        </w:tc>
        <w:tc>
          <w:tcPr>
            <w:tcW w:type="dxa" w:w="2286"/>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$95–110</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$40–60</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Return from $135</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+33% to +63%</w:t>
            </w:r>
          </w:p>
        </w:tc>
        <w:tc>
          <w:tcPr>
            <w:tcW w:type="dxa" w:w="2286"/>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-19% to -30%</w:t>
            </w:r>
          </w:p>
        </w:tc>
        <w:tc>
          <w:tcPr>
            <w:tcW w:type="dxa" w:w="2287"/>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-56% to -70%</w:t>
            </w:r>
          </w:p>
        </w:tc>
      </w:tr>
      <w:tr>
        <w:tc>
          <w:tcPr>
            <w:tcW w:type="dxa" w:w="2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Market Cap Implied</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375623"/>
                <w:sz w:val="18"/>
                <w:szCs w:val="18"/>
              </w:rPr>
              <w:t xml:space="preserve">$2.4–2.9T</w:t>
            </w:r>
          </w:p>
        </w:tc>
        <w:tc>
          <w:tcPr>
            <w:tcW w:type="dxa" w:w="2286"/>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1F3864"/>
                <w:sz w:val="18"/>
                <w:szCs w:val="18"/>
              </w:rPr>
              <w:t xml:space="preserve">$1.2–1.4T</w:t>
            </w:r>
          </w:p>
        </w:tc>
        <w:tc>
          <w:tcPr>
            <w:tcW w:type="dxa" w:w="2287"/>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C00000"/>
                <w:sz w:val="18"/>
                <w:szCs w:val="18"/>
              </w:rPr>
              <w:t xml:space="preserve">$0.5–0.8T</w:t>
            </w:r>
          </w:p>
        </w:tc>
      </w:tr>
    </w:tbl>
    <w:p>
      <w:pPr>
        <w:spacing w:after="80" w:before="80"/>
      </w:pPr>
      <w:r>
        <w:rPr>
          <w:rFonts w:ascii="Arial" w:cs="Arial" w:eastAsia="Arial" w:hAnsi="Arial"/>
          <w:i w:val="false"/>
          <w:iCs w:val="false"/>
          <w:color w:val="000000"/>
          <w:sz w:val="22"/>
          <w:szCs w:val="22"/>
        </w:rPr>
        <w:t xml:space="preserve"/>
      </w:r>
    </w:p>
    <w:p>
      <w:pPr>
        <w:spacing w:after="160"/>
      </w:pPr>
      <w:r>
        <w:rPr>
          <w:rFonts w:ascii="Arial" w:cs="Arial" w:eastAsia="Arial" w:hAnsi="Arial"/>
          <w:i w:val="false"/>
          <w:iCs w:val="false"/>
          <w:color w:val="000000"/>
          <w:sz w:val="20"/>
          <w:szCs w:val="20"/>
        </w:rPr>
        <w:t xml:space="preserve">Expected Value per Share (probability-weighted): 0.20 × $200 + 0.50 × $102 + 0.30 × $50 = $40 + $51 + $15 = $106/share — approximately 22% below the $135 offering price. This suggests the IPO is priced above the probability-weighted intrinsic value even accounting for bull case upside.</w:t>
      </w:r>
    </w:p>
    <w:p>
      <w:r>
        <w:br w:type="page"/>
      </w:r>
    </w:p>
    <w:p>
      <w:pPr>
        <w:pStyle w:val="Heading1"/>
        <w:shd w:fill="1F3864" w:val="clear"/>
        <w:spacing w:after="120" w:before="240"/>
      </w:pPr>
      <w:r>
        <w:rPr>
          <w:rFonts w:ascii="Arial" w:cs="Arial" w:eastAsia="Arial" w:hAnsi="Arial"/>
          <w:b/>
          <w:bCs/>
          <w:color w:val="FFFFFF"/>
          <w:sz w:val="36"/>
          <w:szCs w:val="36"/>
        </w:rPr>
        <w:t xml:space="preserve">20. Final Investment Verdict</w:t>
      </w:r>
    </w:p>
    <w:p>
      <w:pPr>
        <w:pStyle w:val="Heading2"/>
        <w:pBdr>
          <w:bottom w:val="single" w:color="2E75B6" w:sz="4"/>
        </w:pBdr>
        <w:spacing w:after="100" w:before="200"/>
      </w:pPr>
      <w:r>
        <w:rPr>
          <w:rFonts w:ascii="Arial" w:cs="Arial" w:eastAsia="Arial" w:hAnsi="Arial"/>
          <w:b/>
          <w:bCs/>
          <w:color w:val="1F3864"/>
          <w:sz w:val="28"/>
          <w:szCs w:val="28"/>
        </w:rPr>
        <w:t xml:space="preserve">Positives</w:t>
      </w:r>
    </w:p>
    <w:p>
      <w:pPr>
        <w:pStyle w:val="ListParagraph"/>
        <w:numPr>
          <w:ilvl w:val="0"/>
          <w:numId w:val="2"/>
        </w:numPr>
        <w:spacing w:after="80"/>
      </w:pPr>
      <w:r>
        <w:rPr>
          <w:rFonts w:ascii="Arial" w:cs="Arial" w:eastAsia="Arial" w:hAnsi="Arial"/>
          <w:i w:val="false"/>
          <w:iCs w:val="false"/>
          <w:color w:val="000000"/>
          <w:sz w:val="20"/>
          <w:szCs w:val="20"/>
        </w:rPr>
        <w:t xml:space="preserve">World-class, genuinely irreplaceable core businesses in Space and Connectivity with decade-long competitive moats</w:t>
      </w:r>
    </w:p>
    <w:p>
      <w:pPr>
        <w:pStyle w:val="ListParagraph"/>
        <w:numPr>
          <w:ilvl w:val="0"/>
          <w:numId w:val="2"/>
        </w:numPr>
        <w:spacing w:after="80"/>
      </w:pPr>
      <w:r>
        <w:rPr>
          <w:rFonts w:ascii="Arial" w:cs="Arial" w:eastAsia="Arial" w:hAnsi="Arial"/>
          <w:i w:val="false"/>
          <w:iCs w:val="false"/>
          <w:color w:val="000000"/>
          <w:sz w:val="20"/>
          <w:szCs w:val="20"/>
        </w:rPr>
        <w:t xml:space="preserve">Starlink: exceptional unit economics, explosive subscriber growth, 62.9% EBITDA margin — one of the best telecom businesses ever built</w:t>
      </w:r>
    </w:p>
    <w:p>
      <w:pPr>
        <w:pStyle w:val="ListParagraph"/>
        <w:numPr>
          <w:ilvl w:val="0"/>
          <w:numId w:val="2"/>
        </w:numPr>
        <w:spacing w:after="80"/>
      </w:pPr>
      <w:r>
        <w:rPr>
          <w:rFonts w:ascii="Arial" w:cs="Arial" w:eastAsia="Arial" w:hAnsi="Arial"/>
          <w:i w:val="false"/>
          <w:iCs w:val="false"/>
          <w:color w:val="000000"/>
          <w:sz w:val="20"/>
          <w:szCs w:val="20"/>
        </w:rPr>
        <w:t xml:space="preserve">100% fresh issue IPO — all capital stays in the company; no promoter exit</w:t>
      </w:r>
    </w:p>
    <w:p>
      <w:pPr>
        <w:pStyle w:val="ListParagraph"/>
        <w:numPr>
          <w:ilvl w:val="0"/>
          <w:numId w:val="2"/>
        </w:numPr>
        <w:spacing w:after="80"/>
      </w:pPr>
      <w:r>
        <w:rPr>
          <w:rFonts w:ascii="Arial" w:cs="Arial" w:eastAsia="Arial" w:hAnsi="Arial"/>
          <w:i w:val="false"/>
          <w:iCs w:val="false"/>
          <w:color w:val="000000"/>
          <w:sz w:val="20"/>
          <w:szCs w:val="20"/>
        </w:rPr>
        <w:t xml:space="preserve">$74.4B net proceeds fund a clear, capital-productive growth agenda</w:t>
      </w:r>
    </w:p>
    <w:p>
      <w:pPr>
        <w:pStyle w:val="ListParagraph"/>
        <w:numPr>
          <w:ilvl w:val="0"/>
          <w:numId w:val="2"/>
        </w:numPr>
        <w:spacing w:after="80"/>
      </w:pPr>
      <w:r>
        <w:rPr>
          <w:rFonts w:ascii="Arial" w:cs="Arial" w:eastAsia="Arial" w:hAnsi="Arial"/>
          <w:i w:val="false"/>
          <w:iCs w:val="false"/>
          <w:color w:val="000000"/>
          <w:sz w:val="20"/>
          <w:szCs w:val="20"/>
        </w:rPr>
        <w:t xml:space="preserve">Strong and improving CFO ($6.8B in FY2025); high D&amp;A coverage means cash generation is real</w:t>
      </w:r>
    </w:p>
    <w:p>
      <w:pPr>
        <w:pStyle w:val="ListParagraph"/>
        <w:numPr>
          <w:ilvl w:val="0"/>
          <w:numId w:val="2"/>
        </w:numPr>
        <w:spacing w:after="80"/>
      </w:pPr>
      <w:r>
        <w:rPr>
          <w:rFonts w:ascii="Arial" w:cs="Arial" w:eastAsia="Arial" w:hAnsi="Arial"/>
          <w:i w:val="false"/>
          <w:iCs w:val="false"/>
          <w:color w:val="000000"/>
          <w:sz w:val="20"/>
          <w:szCs w:val="20"/>
        </w:rPr>
        <w:t xml:space="preserve">PWC auditor, clean audit opinion, no qualifications — financial statements are reliable</w:t>
      </w:r>
    </w:p>
    <w:p>
      <w:pPr>
        <w:pStyle w:val="ListParagraph"/>
        <w:numPr>
          <w:ilvl w:val="0"/>
          <w:numId w:val="2"/>
        </w:numPr>
        <w:spacing w:after="80"/>
      </w:pPr>
      <w:r>
        <w:rPr>
          <w:rFonts w:ascii="Arial" w:cs="Arial" w:eastAsia="Arial" w:hAnsi="Arial"/>
          <w:i w:val="false"/>
          <w:iCs w:val="false"/>
          <w:color w:val="000000"/>
          <w:sz w:val="20"/>
          <w:szCs w:val="20"/>
        </w:rPr>
        <w:t xml:space="preserve">Starship, if successful, is a phase transition for the entire space economy — enormous option value</w:t>
      </w:r>
    </w:p>
    <w:p>
      <w:pPr>
        <w:pStyle w:val="ListParagraph"/>
        <w:numPr>
          <w:ilvl w:val="0"/>
          <w:numId w:val="2"/>
        </w:numPr>
        <w:spacing w:after="80"/>
      </w:pPr>
      <w:r>
        <w:rPr>
          <w:rFonts w:ascii="Arial" w:cs="Arial" w:eastAsia="Arial" w:hAnsi="Arial"/>
          <w:i w:val="false"/>
          <w:iCs w:val="false"/>
          <w:color w:val="000000"/>
          <w:sz w:val="20"/>
          <w:szCs w:val="20"/>
        </w:rPr>
        <w:t xml:space="preserve">Network effects and spectrum rights create near-permanent Connectivity moat</w:t>
      </w:r>
    </w:p>
    <w:p>
      <w:pPr>
        <w:pStyle w:val="ListParagraph"/>
        <w:numPr>
          <w:ilvl w:val="0"/>
          <w:numId w:val="2"/>
        </w:numPr>
        <w:spacing w:after="80"/>
      </w:pPr>
      <w:r>
        <w:rPr>
          <w:rFonts w:ascii="Arial" w:cs="Arial" w:eastAsia="Arial" w:hAnsi="Arial"/>
          <w:i w:val="false"/>
          <w:iCs w:val="false"/>
          <w:color w:val="000000"/>
          <w:sz w:val="20"/>
          <w:szCs w:val="20"/>
        </w:rPr>
        <w:t xml:space="preserve">Musk's track record (Tesla, Falcon 9, Starlink) lends credibility to ambitious targets</w:t>
      </w:r>
    </w:p>
    <w:p>
      <w:pPr>
        <w:pStyle w:val="Heading2"/>
        <w:pBdr>
          <w:bottom w:val="single" w:color="2E75B6" w:sz="4"/>
        </w:pBdr>
        <w:spacing w:after="100" w:before="200"/>
      </w:pPr>
      <w:r>
        <w:rPr>
          <w:rFonts w:ascii="Arial" w:cs="Arial" w:eastAsia="Arial" w:hAnsi="Arial"/>
          <w:b/>
          <w:bCs/>
          <w:color w:val="1F3864"/>
          <w:sz w:val="28"/>
          <w:szCs w:val="28"/>
        </w:rPr>
        <w:t xml:space="preserve">Negatives</w:t>
      </w:r>
    </w:p>
    <w:p>
      <w:pPr>
        <w:pStyle w:val="ListParagraph"/>
        <w:numPr>
          <w:ilvl w:val="0"/>
          <w:numId w:val="2"/>
        </w:numPr>
        <w:spacing w:after="80"/>
      </w:pPr>
      <w:r>
        <w:rPr>
          <w:rFonts w:ascii="Arial" w:cs="Arial" w:eastAsia="Arial" w:hAnsi="Arial"/>
          <w:i w:val="false"/>
          <w:iCs w:val="false"/>
          <w:color w:val="000000"/>
          <w:sz w:val="20"/>
          <w:szCs w:val="20"/>
        </w:rPr>
        <w:t xml:space="preserve">IPO priced 35–40% above Damodaran's probability-weighted intrinsic value of ~$100/share</w:t>
      </w:r>
    </w:p>
    <w:p>
      <w:pPr>
        <w:pStyle w:val="ListParagraph"/>
        <w:numPr>
          <w:ilvl w:val="0"/>
          <w:numId w:val="2"/>
        </w:numPr>
        <w:spacing w:after="80"/>
      </w:pPr>
      <w:r>
        <w:rPr>
          <w:rFonts w:ascii="Arial" w:cs="Arial" w:eastAsia="Arial" w:hAnsi="Arial"/>
          <w:i w:val="false"/>
          <w:iCs w:val="false"/>
          <w:color w:val="000000"/>
          <w:sz w:val="20"/>
          <w:szCs w:val="20"/>
        </w:rPr>
        <w:t xml:space="preserve">Dual-class governance structure: public investors hold economic risk with zero governance control</w:t>
      </w:r>
    </w:p>
    <w:p>
      <w:pPr>
        <w:pStyle w:val="ListParagraph"/>
        <w:numPr>
          <w:ilvl w:val="0"/>
          <w:numId w:val="2"/>
        </w:numPr>
        <w:spacing w:after="80"/>
      </w:pPr>
      <w:r>
        <w:rPr>
          <w:rFonts w:ascii="Arial" w:cs="Arial" w:eastAsia="Arial" w:hAnsi="Arial"/>
          <w:i w:val="false"/>
          <w:iCs w:val="false"/>
          <w:color w:val="000000"/>
          <w:sz w:val="20"/>
          <w:szCs w:val="20"/>
        </w:rPr>
        <w:t xml:space="preserve">xAI segment: $6.4B operating loss in FY2025, $7.7B capex in Q1 2026 alone — capital destruction at massive scale in unproven AI bet</w:t>
      </w:r>
    </w:p>
    <w:p>
      <w:pPr>
        <w:pStyle w:val="ListParagraph"/>
        <w:numPr>
          <w:ilvl w:val="0"/>
          <w:numId w:val="2"/>
        </w:numPr>
        <w:spacing w:after="80"/>
      </w:pPr>
      <w:r>
        <w:rPr>
          <w:rFonts w:ascii="Arial" w:cs="Arial" w:eastAsia="Arial" w:hAnsi="Arial"/>
          <w:i w:val="false"/>
          <w:iCs w:val="false"/>
          <w:color w:val="000000"/>
          <w:sz w:val="20"/>
          <w:szCs w:val="20"/>
        </w:rPr>
        <w:t xml:space="preserve">Free cash flow: -$13.95B in FY2025; AI capex trajectory suggests FCF will deteriorate further before improving</w:t>
      </w:r>
    </w:p>
    <w:p>
      <w:pPr>
        <w:pStyle w:val="ListParagraph"/>
        <w:numPr>
          <w:ilvl w:val="0"/>
          <w:numId w:val="2"/>
        </w:numPr>
        <w:spacing w:after="80"/>
      </w:pPr>
      <w:r>
        <w:rPr>
          <w:rFonts w:ascii="Arial" w:cs="Arial" w:eastAsia="Arial" w:hAnsi="Arial"/>
          <w:i w:val="false"/>
          <w:iCs w:val="false"/>
          <w:color w:val="000000"/>
          <w:sz w:val="20"/>
          <w:szCs w:val="20"/>
        </w:rPr>
        <w:t xml:space="preserve">Musk key-person risk: running 5+ major organisations simultaneously; succession plan undisclosed</w:t>
      </w:r>
    </w:p>
    <w:p>
      <w:pPr>
        <w:pStyle w:val="ListParagraph"/>
        <w:numPr>
          <w:ilvl w:val="0"/>
          <w:numId w:val="2"/>
        </w:numPr>
        <w:spacing w:after="80"/>
      </w:pPr>
      <w:r>
        <w:rPr>
          <w:rFonts w:ascii="Arial" w:cs="Arial" w:eastAsia="Arial" w:hAnsi="Arial"/>
          <w:i w:val="false"/>
          <w:iCs w:val="false"/>
          <w:color w:val="000000"/>
          <w:sz w:val="20"/>
          <w:szCs w:val="20"/>
        </w:rPr>
        <w:t xml:space="preserve">No dividends; no buybacks planned; investors depend entirely on share price appreciation</w:t>
      </w:r>
    </w:p>
    <w:p>
      <w:pPr>
        <w:pStyle w:val="ListParagraph"/>
        <w:numPr>
          <w:ilvl w:val="0"/>
          <w:numId w:val="2"/>
        </w:numPr>
        <w:spacing w:after="80"/>
      </w:pPr>
      <w:r>
        <w:rPr>
          <w:rFonts w:ascii="Arial" w:cs="Arial" w:eastAsia="Arial" w:hAnsi="Arial"/>
          <w:i w:val="false"/>
          <w:iCs w:val="false"/>
          <w:color w:val="000000"/>
          <w:sz w:val="20"/>
          <w:szCs w:val="20"/>
        </w:rPr>
        <w:t xml:space="preserve">Grok lags ChatGPT, Claude, Gemini in enterprise adoption — AI TAM of $26T in prospectus is fantasy</w:t>
      </w:r>
    </w:p>
    <w:p>
      <w:pPr>
        <w:pStyle w:val="ListParagraph"/>
        <w:numPr>
          <w:ilvl w:val="0"/>
          <w:numId w:val="2"/>
        </w:numPr>
        <w:spacing w:after="80"/>
      </w:pPr>
      <w:r>
        <w:rPr>
          <w:rFonts w:ascii="Arial" w:cs="Arial" w:eastAsia="Arial" w:hAnsi="Arial"/>
          <w:i w:val="false"/>
          <w:iCs w:val="false"/>
          <w:color w:val="000000"/>
          <w:sz w:val="20"/>
          <w:szCs w:val="20"/>
        </w:rPr>
        <w:t xml:space="preserve">Starlink ARPU declining ($99→$66/month) — volume must more than compensate for sustained revenue growth</w:t>
      </w:r>
    </w:p>
    <w:p>
      <w:pPr>
        <w:pStyle w:val="ListParagraph"/>
        <w:numPr>
          <w:ilvl w:val="0"/>
          <w:numId w:val="2"/>
        </w:numPr>
        <w:spacing w:after="80"/>
      </w:pPr>
      <w:r>
        <w:rPr>
          <w:rFonts w:ascii="Arial" w:cs="Arial" w:eastAsia="Arial" w:hAnsi="Arial"/>
          <w:i w:val="false"/>
          <w:iCs w:val="false"/>
          <w:color w:val="000000"/>
          <w:sz w:val="20"/>
          <w:szCs w:val="20"/>
        </w:rPr>
        <w:t xml:space="preserve">Related-party complexity: Anthropic lease, Tesla Terafab, xAI merger — multiple conflict-of-interest vectors</w:t>
      </w:r>
    </w:p>
    <w:p>
      <w:pPr>
        <w:pStyle w:val="ListParagraph"/>
        <w:numPr>
          <w:ilvl w:val="0"/>
          <w:numId w:val="2"/>
        </w:numPr>
        <w:spacing w:after="80"/>
      </w:pPr>
      <w:r>
        <w:rPr>
          <w:rFonts w:ascii="Arial" w:cs="Arial" w:eastAsia="Arial" w:hAnsi="Arial"/>
          <w:i w:val="false"/>
          <w:iCs w:val="false"/>
          <w:color w:val="000000"/>
          <w:sz w:val="20"/>
          <w:szCs w:val="20"/>
        </w:rPr>
        <w:t xml:space="preserve">Three consecutive years of restructuring charges; operational disruption from X/xAI integration ongoing</w:t>
      </w:r>
    </w:p>
    <w:p>
      <w:pPr>
        <w:pStyle w:val="Heading2"/>
        <w:pBdr>
          <w:bottom w:val="single" w:color="2E75B6" w:sz="4"/>
        </w:pBdr>
        <w:spacing w:after="100" w:before="200"/>
      </w:pPr>
      <w:r>
        <w:rPr>
          <w:rFonts w:ascii="Arial" w:cs="Arial" w:eastAsia="Arial" w:hAnsi="Arial"/>
          <w:b/>
          <w:bCs/>
          <w:color w:val="1F3864"/>
          <w:sz w:val="28"/>
          <w:szCs w:val="28"/>
        </w:rPr>
        <w:t xml:space="preserve">Key Monitoring Factors Post-IPO</w:t>
      </w:r>
    </w:p>
    <w:p>
      <w:pPr>
        <w:pStyle w:val="ListParagraph"/>
        <w:numPr>
          <w:ilvl w:val="0"/>
          <w:numId w:val="2"/>
        </w:numPr>
        <w:spacing w:after="80"/>
      </w:pPr>
      <w:r>
        <w:rPr>
          <w:rFonts w:ascii="Arial" w:cs="Arial" w:eastAsia="Arial" w:hAnsi="Arial"/>
          <w:i w:val="false"/>
          <w:iCs w:val="false"/>
          <w:color w:val="000000"/>
          <w:sz w:val="20"/>
          <w:szCs w:val="20"/>
        </w:rPr>
        <w:t xml:space="preserve">Starlink subscriber growth rate and ARPU trajectory — the single most important financial metric</w:t>
      </w:r>
    </w:p>
    <w:p>
      <w:pPr>
        <w:pStyle w:val="ListParagraph"/>
        <w:numPr>
          <w:ilvl w:val="0"/>
          <w:numId w:val="2"/>
        </w:numPr>
        <w:spacing w:after="80"/>
      </w:pPr>
      <w:r>
        <w:rPr>
          <w:rFonts w:ascii="Arial" w:cs="Arial" w:eastAsia="Arial" w:hAnsi="Arial"/>
          <w:i w:val="false"/>
          <w:iCs w:val="false"/>
          <w:color w:val="000000"/>
          <w:sz w:val="20"/>
          <w:szCs w:val="20"/>
        </w:rPr>
        <w:t xml:space="preserve">Starship commercial payload delivery timeline — H2 2026 target; slippage would be material negative</w:t>
      </w:r>
    </w:p>
    <w:p>
      <w:pPr>
        <w:pStyle w:val="ListParagraph"/>
        <w:numPr>
          <w:ilvl w:val="0"/>
          <w:numId w:val="2"/>
        </w:numPr>
        <w:spacing w:after="80"/>
      </w:pPr>
      <w:r>
        <w:rPr>
          <w:rFonts w:ascii="Arial" w:cs="Arial" w:eastAsia="Arial" w:hAnsi="Arial"/>
          <w:i w:val="false"/>
          <w:iCs w:val="false"/>
          <w:color w:val="000000"/>
          <w:sz w:val="20"/>
          <w:szCs w:val="20"/>
        </w:rPr>
        <w:t xml:space="preserve">AI segment Q3/Q4 2026 revenue vs. capex; looking for path to Adj. EBITDA break-even</w:t>
      </w:r>
    </w:p>
    <w:p>
      <w:pPr>
        <w:pStyle w:val="ListParagraph"/>
        <w:numPr>
          <w:ilvl w:val="0"/>
          <w:numId w:val="2"/>
        </w:numPr>
        <w:spacing w:after="80"/>
      </w:pPr>
      <w:r>
        <w:rPr>
          <w:rFonts w:ascii="Arial" w:cs="Arial" w:eastAsia="Arial" w:hAnsi="Arial"/>
          <w:i w:val="false"/>
          <w:iCs w:val="false"/>
          <w:color w:val="000000"/>
          <w:sz w:val="20"/>
          <w:szCs w:val="20"/>
        </w:rPr>
        <w:t xml:space="preserve">Colossus-Anthropic lease renewal/termination — a $15B+ annualized revenue contract</w:t>
      </w:r>
    </w:p>
    <w:p>
      <w:pPr>
        <w:pStyle w:val="ListParagraph"/>
        <w:numPr>
          <w:ilvl w:val="0"/>
          <w:numId w:val="2"/>
        </w:numPr>
        <w:spacing w:after="80"/>
      </w:pPr>
      <w:r>
        <w:rPr>
          <w:rFonts w:ascii="Arial" w:cs="Arial" w:eastAsia="Arial" w:hAnsi="Arial"/>
          <w:i w:val="false"/>
          <w:iCs w:val="false"/>
          <w:color w:val="000000"/>
          <w:sz w:val="20"/>
          <w:szCs w:val="20"/>
        </w:rPr>
        <w:t xml:space="preserve">Musk time allocation and conflict-of-interest developments (Tesla, X, DOGE)</w:t>
      </w:r>
    </w:p>
    <w:p>
      <w:pPr>
        <w:pStyle w:val="ListParagraph"/>
        <w:numPr>
          <w:ilvl w:val="0"/>
          <w:numId w:val="2"/>
        </w:numPr>
        <w:spacing w:after="80"/>
      </w:pPr>
      <w:r>
        <w:rPr>
          <w:rFonts w:ascii="Arial" w:cs="Arial" w:eastAsia="Arial" w:hAnsi="Arial"/>
          <w:i w:val="false"/>
          <w:iCs w:val="false"/>
          <w:color w:val="000000"/>
          <w:sz w:val="20"/>
          <w:szCs w:val="20"/>
        </w:rPr>
        <w:t xml:space="preserve">Government contract renewals (NASA CRS, NSSL Phase 3 award)</w:t>
      </w:r>
    </w:p>
    <w:p>
      <w:pPr>
        <w:pStyle w:val="ListParagraph"/>
        <w:numPr>
          <w:ilvl w:val="0"/>
          <w:numId w:val="2"/>
        </w:numPr>
        <w:spacing w:after="80"/>
      </w:pPr>
      <w:r>
        <w:rPr>
          <w:rFonts w:ascii="Arial" w:cs="Arial" w:eastAsia="Arial" w:hAnsi="Arial"/>
          <w:i w:val="false"/>
          <w:iCs w:val="false"/>
          <w:color w:val="000000"/>
          <w:sz w:val="20"/>
          <w:szCs w:val="20"/>
        </w:rPr>
        <w:t xml:space="preserve">Lock-up expiry selling pressure from pre-IPO investors</w:t>
      </w:r>
    </w:p>
    <w:p>
      <w:pPr>
        <w:pStyle w:val="ListParagraph"/>
        <w:numPr>
          <w:ilvl w:val="0"/>
          <w:numId w:val="2"/>
        </w:numPr>
        <w:spacing w:after="80"/>
      </w:pPr>
      <w:r>
        <w:rPr>
          <w:rFonts w:ascii="Arial" w:cs="Arial" w:eastAsia="Arial" w:hAnsi="Arial"/>
          <w:i w:val="false"/>
          <w:iCs w:val="false"/>
          <w:color w:val="000000"/>
          <w:sz w:val="20"/>
          <w:szCs w:val="20"/>
        </w:rPr>
        <w:t xml:space="preserve">Share price vs. Musk performance award triggers — incentive alignment</w:t>
      </w:r>
    </w:p>
    <w:p>
      <w:pPr>
        <w:spacing w:after="80" w:before="80"/>
      </w:pPr>
      <w:r>
        <w:rPr>
          <w:rFonts w:ascii="Arial" w:cs="Arial" w:eastAsia="Arial" w:hAnsi="Arial"/>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1500"/>
        <w:gridCol w:w="4360"/>
      </w:tblGrid>
      <w:tr>
        <w:tc>
          <w:tcPr>
            <w:tcW w:type="dxa" w:w="3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Rating Category</w:t>
            </w:r>
          </w:p>
        </w:tc>
        <w:tc>
          <w:tcPr>
            <w:tcW w:type="dxa" w:w="1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Score /10</w:t>
            </w:r>
          </w:p>
        </w:tc>
        <w:tc>
          <w:tcPr>
            <w:tcW w:type="dxa" w:w="43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Comments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Business Quality</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375623"/>
                <w:sz w:val="18"/>
                <w:szCs w:val="18"/>
              </w:rPr>
              <w:t xml:space="preserve">8/10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World-class in Space &amp; Connectivity; AI nascent</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Financial Strength</w:t>
            </w:r>
          </w:p>
        </w:tc>
        <w:tc>
          <w:tcPr>
            <w:tcW w:type="dxa" w:w="1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7F6000"/>
                <w:sz w:val="18"/>
                <w:szCs w:val="18"/>
              </w:rPr>
              <w:t xml:space="preserve">5/10</w:t>
            </w:r>
          </w:p>
        </w:tc>
        <w:tc>
          <w:tcPr>
            <w:tcW w:type="dxa" w:w="4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Strong CFO; FCF deeply negative; AI drags</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Corporate Governance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3/10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Dual-class, Musk control, related-party complexity</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Valuation Attractiveness (at $135)</w:t>
            </w:r>
          </w:p>
        </w:tc>
        <w:tc>
          <w:tcPr>
            <w:tcW w:type="dxa" w:w="1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C00000"/>
                <w:sz w:val="18"/>
                <w:szCs w:val="18"/>
              </w:rPr>
              <w:t xml:space="preserve">3/10</w:t>
            </w:r>
          </w:p>
        </w:tc>
        <w:tc>
          <w:tcPr>
            <w:tcW w:type="dxa" w:w="4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35-40% premium to intrinsic value</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IPO Structure Quality</w:t>
            </w:r>
          </w:p>
        </w:tc>
        <w:tc>
          <w:tcPr>
            <w:tcW w:type="dxa" w:w="15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center"/>
            </w:pPr>
            <w:r>
              <w:rPr>
                <w:rFonts w:ascii="Arial" w:cs="Arial" w:eastAsia="Arial" w:hAnsi="Arial"/>
                <w:b/>
                <w:bCs/>
                <w:color w:val="375623"/>
                <w:sz w:val="18"/>
                <w:szCs w:val="18"/>
              </w:rPr>
              <w:t xml:space="preserve">7/10</w:t>
            </w:r>
          </w:p>
        </w:tc>
        <w:tc>
          <w:tcPr>
            <w:tcW w:type="dxa" w:w="436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100% fresh issue; productive use of proceeds</w:t>
            </w:r>
          </w:p>
        </w:tc>
      </w:tr>
      <w:tr>
        <w:tc>
          <w:tcPr>
            <w:tcW w:type="dxa" w:w="3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bCs/>
                <w:color w:val="1F3864"/>
                <w:sz w:val="18"/>
                <w:szCs w:val="18"/>
              </w:rPr>
              <w:t xml:space="preserve">Management Quality</w:t>
            </w:r>
          </w:p>
        </w:tc>
        <w:tc>
          <w:tcPr>
            <w:tcW w:type="dxa" w:w="150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center"/>
            </w:pPr>
            <w:r>
              <w:rPr>
                <w:rFonts w:ascii="Arial" w:cs="Arial" w:eastAsia="Arial" w:hAnsi="Arial"/>
                <w:b/>
                <w:bCs/>
                <w:color w:val="7F6000"/>
                <w:sz w:val="18"/>
                <w:szCs w:val="18"/>
              </w:rPr>
              <w:t xml:space="preserve">6/10</w:t>
            </w:r>
          </w:p>
        </w:tc>
        <w:tc>
          <w:tcPr>
            <w:tcW w:type="dxa" w:w="4360"/>
            <w:tcBorders>
              <w:top w:val="single" w:color="CCCCCC" w:sz="1"/>
              <w:left w:val="single" w:color="CCCCCC" w:sz="1"/>
              <w:bottom w:val="single" w:color="CCCCCC" w:sz="1"/>
              <w:right w:val="single" w:color="CCCCCC" w:sz="1"/>
            </w:tcBorders>
            <w:shd w:fill="F2F2F2" w:val="clear"/>
            <w:tcMar>
              <w:top w:type="dxa" w:w="80"/>
              <w:left w:type="dxa" w:w="100"/>
              <w:bottom w:type="dxa" w:w="80"/>
              <w:right w:type="dxa" w:w="100"/>
            </w:tcMar>
            <w:vAlign w:val="center"/>
          </w:tcPr>
          <w:p>
            <w:pPr>
              <w:jc w:val="left"/>
            </w:pPr>
            <w:r>
              <w:rPr>
                <w:rFonts w:ascii="Arial" w:cs="Arial" w:eastAsia="Arial" w:hAnsi="Arial"/>
                <w:b w:val="false"/>
                <w:bCs w:val="false"/>
                <w:color w:val="000000"/>
                <w:sz w:val="18"/>
                <w:szCs w:val="18"/>
              </w:rPr>
              <w:t xml:space="preserve">Musk visionary but distracted; Shotwell excellent</w:t>
            </w:r>
          </w:p>
        </w:tc>
      </w:tr>
      <w:tr>
        <w:tc>
          <w:tcPr>
            <w:tcW w:type="dxa" w:w="3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left"/>
            </w:pPr>
            <w:r>
              <w:rPr>
                <w:rFonts w:ascii="Arial" w:cs="Arial" w:eastAsia="Arial" w:hAnsi="Arial"/>
                <w:b/>
                <w:bCs/>
                <w:color w:val="FFFFFF"/>
                <w:sz w:val="18"/>
                <w:szCs w:val="18"/>
              </w:rPr>
              <w:t xml:space="preserve">OVERALL IPO RATING</w:t>
            </w:r>
          </w:p>
        </w:tc>
        <w:tc>
          <w:tcPr>
            <w:tcW w:type="dxa" w:w="150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center"/>
            </w:pPr>
            <w:r>
              <w:rPr>
                <w:rFonts w:ascii="Arial" w:cs="Arial" w:eastAsia="Arial" w:hAnsi="Arial"/>
                <w:b/>
                <w:bCs/>
                <w:color w:val="FFFFFF"/>
                <w:sz w:val="18"/>
                <w:szCs w:val="18"/>
              </w:rPr>
              <w:t xml:space="preserve">5.5/10</w:t>
            </w:r>
          </w:p>
        </w:tc>
        <w:tc>
          <w:tcPr>
            <w:tcW w:type="dxa" w:w="4360"/>
            <w:tcBorders>
              <w:top w:val="single" w:color="CCCCCC" w:sz="1"/>
              <w:left w:val="single" w:color="CCCCCC" w:sz="1"/>
              <w:bottom w:val="single" w:color="CCCCCC" w:sz="1"/>
              <w:right w:val="single" w:color="CCCCCC" w:sz="1"/>
            </w:tcBorders>
            <w:shd w:fill="1F3864" w:val="clear"/>
            <w:tcMar>
              <w:top w:type="dxa" w:w="80"/>
              <w:left w:type="dxa" w:w="100"/>
              <w:bottom w:type="dxa" w:w="80"/>
              <w:right w:type="dxa" w:w="100"/>
            </w:tcMar>
            <w:vAlign w:val="center"/>
          </w:tcPr>
          <w:p>
            <w:pPr>
              <w:jc w:val="left"/>
            </w:pPr>
            <w:r>
              <w:rPr>
                <w:rFonts w:ascii="Arial" w:cs="Arial" w:eastAsia="Arial" w:hAnsi="Arial"/>
                <w:b w:val="false"/>
                <w:bCs w:val="false"/>
                <w:color w:val="FFFFFF"/>
                <w:sz w:val="18"/>
                <w:szCs w:val="18"/>
              </w:rPr>
              <w:t xml:space="preserve">Compelling company; unattractive entry price</w:t>
            </w:r>
          </w:p>
        </w:tc>
      </w:tr>
    </w:tbl>
    <w:p>
      <w:pPr>
        <w:spacing w:after="80" w:before="80"/>
      </w:pPr>
      <w:r>
        <w:rPr>
          <w:rFonts w:ascii="Arial" w:cs="Arial" w:eastAsia="Arial" w:hAnsi="Arial"/>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C00000" w:val="clear"/>
            <w:tcMar>
              <w:top w:type="dxa" w:w="160"/>
              <w:left w:type="dxa" w:w="200"/>
              <w:bottom w:type="dxa" w:w="160"/>
              <w:right w:type="dxa" w:w="200"/>
            </w:tcMar>
          </w:tcPr>
          <w:p>
            <w:pPr>
              <w:jc w:val="center"/>
            </w:pPr>
            <w:r>
              <w:rPr>
                <w:rFonts w:ascii="Arial" w:cs="Arial" w:eastAsia="Arial" w:hAnsi="Arial"/>
                <w:b/>
                <w:bCs/>
                <w:color w:val="FFFFFF"/>
                <w:sz w:val="36"/>
                <w:szCs w:val="36"/>
              </w:rPr>
              <w:t xml:space="preserve">FINAL RECOMMENDATION: NEUTRAL / AVOID AT $135</w:t>
            </w:r>
          </w:p>
          <w:p>
            <w:pPr>
              <w:jc w:val="center"/>
            </w:pPr>
            <w:r>
              <w:rPr>
                <w:rFonts w:ascii="Arial" w:cs="Arial" w:eastAsia="Arial" w:hAnsi="Arial"/>
                <w:color w:val="FFFFFF"/>
                <w:sz w:val="22"/>
                <w:szCs w:val="22"/>
              </w:rPr>
              <w:t xml:space="preserve">Consider subscribing only if your price target window is &gt; $200 on a 3-year view (Bull Case). Re-evaluate at $90-105 (base-case intrinsic value).</w:t>
            </w:r>
          </w:p>
        </w:tc>
      </w:tr>
    </w:tbl>
    <w:p>
      <w:r>
        <w:br w:type="page"/>
      </w:r>
    </w:p>
    <w:p>
      <w:pPr>
        <w:pStyle w:val="Heading1"/>
        <w:shd w:fill="1F3864" w:val="clear"/>
        <w:spacing w:after="120" w:before="240"/>
      </w:pPr>
      <w:r>
        <w:rPr>
          <w:rFonts w:ascii="Arial" w:cs="Arial" w:eastAsia="Arial" w:hAnsi="Arial"/>
          <w:b/>
          <w:bCs/>
          <w:color w:val="FFFFFF"/>
          <w:sz w:val="36"/>
          <w:szCs w:val="36"/>
        </w:rPr>
        <w:t xml:space="preserve">One-Page Investment Thesis (&lt;500 words)</w:t>
      </w:r>
    </w:p>
    <w:p>
      <w:pPr>
        <w:pStyle w:val="Heading2"/>
        <w:pBdr>
          <w:bottom w:val="single" w:color="2E75B6" w:sz="4"/>
        </w:pBdr>
        <w:spacing w:after="100" w:before="200"/>
      </w:pPr>
      <w:r>
        <w:rPr>
          <w:rFonts w:ascii="Arial" w:cs="Arial" w:eastAsia="Arial" w:hAnsi="Arial"/>
          <w:b/>
          <w:bCs/>
          <w:color w:val="1F3864"/>
          <w:sz w:val="28"/>
          <w:szCs w:val="28"/>
        </w:rPr>
        <w:t xml:space="preserve">SpaceX: A Trillion-Dollar Company at a Trillion-and-Three-Quarters-Dollar Price</w:t>
      </w:r>
    </w:p>
    <w:p>
      <w:pPr>
        <w:spacing w:after="160"/>
      </w:pPr>
      <w:r>
        <w:rPr>
          <w:rFonts w:ascii="Arial" w:cs="Arial" w:eastAsia="Arial" w:hAnsi="Arial"/>
          <w:i w:val="false"/>
          <w:iCs w:val="false"/>
          <w:color w:val="000000"/>
          <w:sz w:val="20"/>
          <w:szCs w:val="20"/>
        </w:rPr>
        <w:t xml:space="preserve">SpaceX is the most consequential private company ever to go public. It has done what aerospace incumbents said was impossible — made rockets reusable, launched 80%+ of the world's orbital mass, and built a satellite internet business with &gt;60% EBITDA margins that now serves 10 million subscribers on every continent. These are not hype. Starlink's unit economics are among the best in telecom history. The Space business has a decade-long technology lead that no competitor can close within a foreseeable planning horizon. If Starship delivers on its promise of 99% cost reduction vs. historical launch costs, it re-prices the entire space economy.</w:t>
      </w:r>
    </w:p>
    <w:p>
      <w:pPr>
        <w:spacing w:after="160"/>
      </w:pPr>
      <w:r>
        <w:rPr>
          <w:rFonts w:ascii="Arial" w:cs="Arial" w:eastAsia="Arial" w:hAnsi="Arial"/>
          <w:i w:val="false"/>
          <w:iCs w:val="false"/>
          <w:color w:val="000000"/>
          <w:sz w:val="20"/>
          <w:szCs w:val="20"/>
        </w:rPr>
        <w:t xml:space="preserve">And yet — at $135/share, you are not buying an undervalued gem. You are paying a price that embeds all of this extraordinary optionality and more. Damodaran's post-prospectus DCF values SpaceX equity at $1.25–1.30 trillion (including $74.4B IPO proceeds). At $135/share, the market cap is $1.77 trillion — a ~35-40% premium to intrinsic value. The probability-weighted fair value across bull/base/bear scenarios is approximately $106/share. You need the bull case to happen for the IPO price to be justified.</w:t>
      </w:r>
    </w:p>
    <w:p>
      <w:pPr>
        <w:spacing w:after="160"/>
      </w:pPr>
      <w:r>
        <w:rPr>
          <w:rFonts w:ascii="Arial" w:cs="Arial" w:eastAsia="Arial" w:hAnsi="Arial"/>
          <w:i w:val="false"/>
          <w:iCs w:val="false"/>
          <w:color w:val="000000"/>
          <w:sz w:val="20"/>
          <w:szCs w:val="20"/>
        </w:rPr>
        <w:t xml:space="preserve">The structural concern is the xAI addition. SpaceX in February 2026 absorbed xAI — a company spending $14+ billion per year in capex and R&amp;D to compete against OpenAI, Anthropic, and Google in the AI frontier model market, from a position of relative weakness. Grok is a credible product but lags the competition in enterprise adoption. The AI TAM of '$26 trillion' cited in the prospectus is fantasy — a credible TAM is $3-4 trillion. At $7.7B of AI capex in Q1 2026 alone, SpaceX is committing shareholder capital to an uphill AI battle that could consume the $74.4B IPO proceeds within 2-3 years without a clearly defined path to profitability.</w:t>
      </w:r>
    </w:p>
    <w:p>
      <w:pPr>
        <w:spacing w:after="160"/>
      </w:pPr>
      <w:r>
        <w:rPr>
          <w:rFonts w:ascii="Arial" w:cs="Arial" w:eastAsia="Arial" w:hAnsi="Arial"/>
          <w:i w:val="false"/>
          <w:iCs w:val="false"/>
          <w:color w:val="000000"/>
          <w:sz w:val="20"/>
          <w:szCs w:val="20"/>
        </w:rPr>
        <w:t xml:space="preserve">The governance structure is the final nail in the 'avoid' coffin for cautious institutional investors. Class A shares carry no meaningful governance rights. Musk controls 82.4% of votes. He can elect the board, set his own compensation (including the $135 billion face-value option grant approved in January 2026), pursue related-party transactions, and redirect capital — all without minority shareholder consent. Investors are making a personal bet on Elon Musk, with no institutional guardrails.</w:t>
      </w:r>
    </w:p>
    <w:p>
      <w:pPr>
        <w:spacing w:after="160"/>
      </w:pPr>
      <w:r>
        <w:rPr>
          <w:rFonts w:ascii="Arial" w:cs="Arial" w:eastAsia="Arial" w:hAnsi="Arial"/>
          <w:i w:val="false"/>
          <w:iCs w:val="false"/>
          <w:color w:val="000000"/>
          <w:sz w:val="20"/>
          <w:szCs w:val="20"/>
        </w:rPr>
        <w:t xml:space="preserve">The conclusion: SpaceX is unambiguously a world-class business. It should trade at a significant premium to any aerospace or telecom peer. But 'premium' does not mean 'infinite premium.' At $135, you are paying 95x revenue and 269x EBITDA for a company that lost $4.9B (GAAP) in its most recent fiscal year. For long-term investors with a 5-10 year horizon and tolerance for Musk-related volatility, a position initiated at $90-105 (base-case fair value) offers a compelling risk/reward. At $135, the risk/reward is unfavourable — roughly 20-30% downside to fair value with 35-65% upside to bull case. The asymmetry does not justify participation at IPO price. NEUTRAL / AVOID at $135. Watch for a post-IPO correction.</w:t>
      </w:r>
    </w:p>
    <w:p>
      <w:r>
        <w:br w:type="page"/>
      </w:r>
    </w:p>
    <w:p>
      <w:pPr>
        <w:pStyle w:val="Heading1"/>
        <w:shd w:fill="1F3864" w:val="clear"/>
        <w:spacing w:after="120" w:before="240"/>
      </w:pPr>
      <w:r>
        <w:rPr>
          <w:rFonts w:ascii="Arial" w:cs="Arial" w:eastAsia="Arial" w:hAnsi="Arial"/>
          <w:b/>
          <w:bCs/>
          <w:color w:val="FFFFFF"/>
          <w:sz w:val="36"/>
          <w:szCs w:val="36"/>
        </w:rPr>
        <w:t xml:space="preserve">15-Point Detailed Investment Thesis</w:t>
      </w:r>
    </w:p>
    <w:p>
      <w:pPr>
        <w:pStyle w:val="Heading2"/>
        <w:pBdr>
          <w:bottom w:val="single" w:color="2E75B6" w:sz="4"/>
        </w:pBdr>
        <w:spacing w:after="100" w:before="200"/>
      </w:pPr>
      <w:r>
        <w:rPr>
          <w:rFonts w:ascii="Arial" w:cs="Arial" w:eastAsia="Arial" w:hAnsi="Arial"/>
          <w:b/>
          <w:bCs/>
          <w:color w:val="1F3864"/>
          <w:sz w:val="28"/>
          <w:szCs w:val="28"/>
        </w:rPr>
        <w:t xml:space="preserve">1. The Starlink Moat is Real and Widening</w:t>
      </w:r>
    </w:p>
    <w:p>
      <w:pPr>
        <w:spacing w:after="160"/>
      </w:pPr>
      <w:r>
        <w:rPr>
          <w:rFonts w:ascii="Arial" w:cs="Arial" w:eastAsia="Arial" w:hAnsi="Arial"/>
          <w:i w:val="false"/>
          <w:iCs w:val="false"/>
          <w:color w:val="000000"/>
          <w:sz w:val="20"/>
          <w:szCs w:val="20"/>
        </w:rPr>
        <w:t xml:space="preserve">With ~9,600 satellites constituting ~75% of all active maneuverable satellites globally, Starlink has built what is arguably the most defensible telecommunications infrastructure ever constructed. No competitor can close this gap in &lt;5 years — SpaceX's own launch cost advantage means it can add satellites cheaper than any rival can even get to orbit. Starlink's EBITDA margin of 62.9% rivals the best internet infrastructure businesses globally. This segment alone, valued at 15–20x EBITDA, is worth $1.1–1.4T — nearly equal to the entire IPO valuation. Everything else (Space, AI) is bonus.</w:t>
      </w:r>
    </w:p>
    <w:p>
      <w:pPr>
        <w:pStyle w:val="Heading2"/>
        <w:pBdr>
          <w:bottom w:val="single" w:color="2E75B6" w:sz="4"/>
        </w:pBdr>
        <w:spacing w:after="100" w:before="200"/>
      </w:pPr>
      <w:r>
        <w:rPr>
          <w:rFonts w:ascii="Arial" w:cs="Arial" w:eastAsia="Arial" w:hAnsi="Arial"/>
          <w:b/>
          <w:bCs/>
          <w:color w:val="1F3864"/>
          <w:sz w:val="28"/>
          <w:szCs w:val="28"/>
        </w:rPr>
        <w:t xml:space="preserve">2. Starship Changes the Game — If It Works</w:t>
      </w:r>
    </w:p>
    <w:p>
      <w:pPr>
        <w:spacing w:after="160"/>
      </w:pPr>
      <w:r>
        <w:rPr>
          <w:rFonts w:ascii="Arial" w:cs="Arial" w:eastAsia="Arial" w:hAnsi="Arial"/>
          <w:i w:val="false"/>
          <w:iCs w:val="false"/>
          <w:color w:val="000000"/>
          <w:sz w:val="20"/>
          <w:szCs w:val="20"/>
        </w:rPr>
        <w:t xml:space="preserve">Starship V3, designed for 100MT payload to LEO fully reusable, would reduce orbit access cost by 99%+ vs. the historical average. If operational at scale by 2027-2028, it enables: (a) mass deployment of V3 Starlink satellites (60 per Starship launch vs. 22 on Falcon 9 — 3x capacity per launch), (b) orbital AI compute satellites harnessing space-based solar power, (c) lunar base construction for NASA Artemis, and (d) ultimately, Mars colonisation. These represent legitimate option value worth hundreds of billions in a bull case. The 12 flight tests to date (with the 12th in May 2026 reaching new milestones) give high confidence that Starship will be commercialised. The key risk is timeline slippage.</w:t>
      </w:r>
    </w:p>
    <w:p>
      <w:pPr>
        <w:pStyle w:val="Heading2"/>
        <w:pBdr>
          <w:bottom w:val="single" w:color="2E75B6" w:sz="4"/>
        </w:pBdr>
        <w:spacing w:after="100" w:before="200"/>
      </w:pPr>
      <w:r>
        <w:rPr>
          <w:rFonts w:ascii="Arial" w:cs="Arial" w:eastAsia="Arial" w:hAnsi="Arial"/>
          <w:b/>
          <w:bCs/>
          <w:color w:val="1F3864"/>
          <w:sz w:val="28"/>
          <w:szCs w:val="28"/>
        </w:rPr>
        <w:t xml:space="preserve">3. Space Business Has Hidden Earnings Power</w:t>
      </w:r>
    </w:p>
    <w:p>
      <w:pPr>
        <w:spacing w:after="160"/>
      </w:pPr>
      <w:r>
        <w:rPr>
          <w:rFonts w:ascii="Arial" w:cs="Arial" w:eastAsia="Arial" w:hAnsi="Arial"/>
          <w:i w:val="false"/>
          <w:iCs w:val="false"/>
          <w:color w:val="000000"/>
          <w:sz w:val="20"/>
          <w:szCs w:val="20"/>
        </w:rPr>
        <w:t xml:space="preserve">The Space segment appears to be a modest earner ($653M Adj. EBITDA on $4.1B revenue = 16% margin). But this obscures a critical fact: it bears $3.0B of Starship R&amp;D (FY2025). Without Starship R&amp;D, the Space segment would have earned $3.65B Adj. EBITDA — an 89% margin — reflecting the extraordinary economics of a reusable rocket that has been reflown 34 times. Once Starship reaches commercialisation, Space segment profitability will surge as Starship R&amp;D transitions from expense to amortisable asset.</w:t>
      </w:r>
    </w:p>
    <w:p>
      <w:pPr>
        <w:pStyle w:val="Heading2"/>
        <w:pBdr>
          <w:bottom w:val="single" w:color="2E75B6" w:sz="4"/>
        </w:pBdr>
        <w:spacing w:after="100" w:before="200"/>
      </w:pPr>
      <w:r>
        <w:rPr>
          <w:rFonts w:ascii="Arial" w:cs="Arial" w:eastAsia="Arial" w:hAnsi="Arial"/>
          <w:b/>
          <w:bCs/>
          <w:color w:val="1F3864"/>
          <w:sz w:val="28"/>
          <w:szCs w:val="28"/>
        </w:rPr>
        <w:t xml:space="preserve">4. Subscriber Growth Is the Lodestar Metric</w:t>
      </w:r>
    </w:p>
    <w:p>
      <w:pPr>
        <w:spacing w:after="160"/>
      </w:pPr>
      <w:r>
        <w:rPr>
          <w:rFonts w:ascii="Arial" w:cs="Arial" w:eastAsia="Arial" w:hAnsi="Arial"/>
          <w:i w:val="false"/>
          <w:iCs w:val="false"/>
          <w:color w:val="000000"/>
          <w:sz w:val="20"/>
          <w:szCs w:val="20"/>
        </w:rPr>
        <w:t xml:space="preserve">Starlink subscribers grew from 5M to 10.3M in one year — a 106% increase. At the current growth trajectory, reaching 20-25M subscribers by 2028 is achievable. At even $70/month ARPU, 20M subscribers = $16.8B in annual Connectivity revenue with &gt;60% EBITDA margins. Investors should track quarterly subscriber additions and monthly ARPU as the single most important forward indicator of value. ARPU compression (from $99 to $66/month) is a concern but is being compensated by volume. The inflection point will come when Starship enables V3 satellite deployment and SpaceX can compete in dense urban markets with fiber-like service.</w:t>
      </w:r>
    </w:p>
    <w:p>
      <w:pPr>
        <w:pStyle w:val="Heading2"/>
        <w:pBdr>
          <w:bottom w:val="single" w:color="2E75B6" w:sz="4"/>
        </w:pBdr>
        <w:spacing w:after="100" w:before="200"/>
      </w:pPr>
      <w:r>
        <w:rPr>
          <w:rFonts w:ascii="Arial" w:cs="Arial" w:eastAsia="Arial" w:hAnsi="Arial"/>
          <w:b/>
          <w:bCs/>
          <w:color w:val="1F3864"/>
          <w:sz w:val="28"/>
          <w:szCs w:val="28"/>
        </w:rPr>
        <w:t xml:space="preserve">5. The AI Bet: Potentially the Biggest Risk</w:t>
      </w:r>
    </w:p>
    <w:p>
      <w:pPr>
        <w:spacing w:after="160"/>
      </w:pPr>
      <w:r>
        <w:rPr>
          <w:rFonts w:ascii="Arial" w:cs="Arial" w:eastAsia="Arial" w:hAnsi="Arial"/>
          <w:i w:val="false"/>
          <w:iCs w:val="false"/>
          <w:color w:val="000000"/>
          <w:sz w:val="20"/>
          <w:szCs w:val="20"/>
        </w:rPr>
        <w:t xml:space="preserve">The xAI acquisition dramatically changes SpaceX's risk profile. AI is a $14B+ annual investment (capex + R&amp;D in FY2025) into a market where SpaceX is the challenger, not the incumbent. OpenAI has ~$4B annual revenue and 200M weekly active users. Anthropic (backed by Google and Amazon) operates the most widely used enterprise AI with Claude. Google's Gemini is integrated across billions of Android devices. Grok's integration with X's 350M daily posts gives it a differentiated real-time data advantage, but this alone is insufficient to displace entrenched enterprise relationships. If AI does not deliver material commercial traction by 2027, the $14B+/year in AI spending will be viewed as value destruction — not investment.</w:t>
      </w:r>
    </w:p>
    <w:p>
      <w:pPr>
        <w:pStyle w:val="Heading2"/>
        <w:pBdr>
          <w:bottom w:val="single" w:color="2E75B6" w:sz="4"/>
        </w:pBdr>
        <w:spacing w:after="100" w:before="200"/>
      </w:pPr>
      <w:r>
        <w:rPr>
          <w:rFonts w:ascii="Arial" w:cs="Arial" w:eastAsia="Arial" w:hAnsi="Arial"/>
          <w:b/>
          <w:bCs/>
          <w:color w:val="1F3864"/>
          <w:sz w:val="28"/>
          <w:szCs w:val="28"/>
        </w:rPr>
        <w:t xml:space="preserve">6. The Colossus-Anthropic Paradox</w:t>
      </w:r>
    </w:p>
    <w:p>
      <w:pPr>
        <w:spacing w:after="160"/>
      </w:pPr>
      <w:r>
        <w:rPr>
          <w:rFonts w:ascii="Arial" w:cs="Arial" w:eastAsia="Arial" w:hAnsi="Arial"/>
          <w:i w:val="false"/>
          <w:iCs w:val="false"/>
          <w:color w:val="000000"/>
          <w:sz w:val="20"/>
          <w:szCs w:val="20"/>
        </w:rPr>
        <w:t xml:space="preserve">SpaceX is leasing Colossus (its flagship AI compute cluster) to Anthropic for an estimated $1.25B/month — approximately $15B/year. This is a massive near-term revenue and cash flow positive. But it is also deeply strategically incoherent: SpaceX is directly subsidising its primary AI competitor (Claude is Grok's main rival in enterprise) with its most valuable compute asset. If Anthropic wins the enterprise AI market using Colossus compute, Grok loses by definition. This reveals a tension at the heart of SpaceX's AI strategy — it is simultaneously trying to monetise compute infrastructure (rational) and win the frontier AI model market (requires not helping Anthropic). Investors should watch for Colossus lease renewal decisions as a signal of strategic clarity.</w:t>
      </w:r>
    </w:p>
    <w:p>
      <w:pPr>
        <w:pStyle w:val="Heading2"/>
        <w:pBdr>
          <w:bottom w:val="single" w:color="2E75B6" w:sz="4"/>
        </w:pBdr>
        <w:spacing w:after="100" w:before="200"/>
      </w:pPr>
      <w:r>
        <w:rPr>
          <w:rFonts w:ascii="Arial" w:cs="Arial" w:eastAsia="Arial" w:hAnsi="Arial"/>
          <w:b/>
          <w:bCs/>
          <w:color w:val="1F3864"/>
          <w:sz w:val="28"/>
          <w:szCs w:val="28"/>
        </w:rPr>
        <w:t xml:space="preserve">7. Musk: The Greatest Asset and the Greatest Risk</w:t>
      </w:r>
    </w:p>
    <w:p>
      <w:pPr>
        <w:spacing w:after="160"/>
      </w:pPr>
      <w:r>
        <w:rPr>
          <w:rFonts w:ascii="Arial" w:cs="Arial" w:eastAsia="Arial" w:hAnsi="Arial"/>
          <w:i w:val="false"/>
          <w:iCs w:val="false"/>
          <w:color w:val="000000"/>
          <w:sz w:val="20"/>
          <w:szCs w:val="20"/>
        </w:rPr>
        <w:t xml:space="preserve">Elon Musk is genuinely one of the greatest technology entrepreneurs of the 21st century. His track record of re-engineering industries (PayPal → fintech, Tesla → EVs, SpaceX → reusable rockets) is unparalleled. The cult of personality around Musk means SpaceX can attract engineers who would otherwise command 2-3x salaries elsewhere. This talent advantage compounds over time. However, Musk simultaneously manages Tesla (public company, $800B+ market cap), X (complex social media business), DOGE (U.S. government advisory role), The Boring Company, Neuralink, and now SpaceX's AI ambitions. The risk of burn-out, distraction, reputational damage (Musk's political activities are deeply polarising), or simply being spread too thin is not theoretical — it is a daily operational reality. SpaceX has no publicly disclosed succession plan.</w:t>
      </w:r>
    </w:p>
    <w:p>
      <w:pPr>
        <w:pStyle w:val="Heading2"/>
        <w:pBdr>
          <w:bottom w:val="single" w:color="2E75B6" w:sz="4"/>
        </w:pBdr>
        <w:spacing w:after="100" w:before="200"/>
      </w:pPr>
      <w:r>
        <w:rPr>
          <w:rFonts w:ascii="Arial" w:cs="Arial" w:eastAsia="Arial" w:hAnsi="Arial"/>
          <w:b/>
          <w:bCs/>
          <w:color w:val="1F3864"/>
          <w:sz w:val="28"/>
          <w:szCs w:val="28"/>
        </w:rPr>
        <w:t xml:space="preserve">8. Governance is a Structural, Permanent Discount</w:t>
      </w:r>
    </w:p>
    <w:p>
      <w:pPr>
        <w:spacing w:after="160"/>
      </w:pPr>
      <w:r>
        <w:rPr>
          <w:rFonts w:ascii="Arial" w:cs="Arial" w:eastAsia="Arial" w:hAnsi="Arial"/>
          <w:i w:val="false"/>
          <w:iCs w:val="false"/>
          <w:color w:val="000000"/>
          <w:sz w:val="20"/>
          <w:szCs w:val="20"/>
        </w:rPr>
        <w:t xml:space="preserve">Unlike typical governance concerns (which can be fixed by a board change), SpaceX's dual-class structure is permanent in the absence of Musk's consent. There is no path by which a majority of Class A shareholders can force governance improvement, replace management, block a related-party transaction, or modify executive compensation. This is not a temporary inefficiency — it is by design. Institutional investors who price governance correctly should apply a persistent discount of 15-25% to SpaceX vs. an identically-performing company with standard governance. At $135/share, that discount is not reflected.</w:t>
      </w:r>
    </w:p>
    <w:p>
      <w:pPr>
        <w:pStyle w:val="Heading2"/>
        <w:pBdr>
          <w:bottom w:val="single" w:color="2E75B6" w:sz="4"/>
        </w:pBdr>
        <w:spacing w:after="100" w:before="200"/>
      </w:pPr>
      <w:r>
        <w:rPr>
          <w:rFonts w:ascii="Arial" w:cs="Arial" w:eastAsia="Arial" w:hAnsi="Arial"/>
          <w:b/>
          <w:bCs/>
          <w:color w:val="1F3864"/>
          <w:sz w:val="28"/>
          <w:szCs w:val="28"/>
        </w:rPr>
        <w:t xml:space="preserve">9. The Capex Trajectory is Alarming</w:t>
      </w:r>
    </w:p>
    <w:p>
      <w:pPr>
        <w:spacing w:after="160"/>
      </w:pPr>
      <w:r>
        <w:rPr>
          <w:rFonts w:ascii="Arial" w:cs="Arial" w:eastAsia="Arial" w:hAnsi="Arial"/>
          <w:i w:val="false"/>
          <w:iCs w:val="false"/>
          <w:color w:val="000000"/>
          <w:sz w:val="20"/>
          <w:szCs w:val="20"/>
        </w:rPr>
        <w:t xml:space="preserve">FY2023: $4.4B capex. FY2024: $11.2B capex. FY2025: $20.7B capex. Q1 2026: ~$10.1B capex ($7.7B AI + $1.3B Connectivity + $1.1B Space). The AI capex alone in Q1 2026 ($7.7B) exceeds SpaceX's entire FY2023 capex. At this trajectory, the $74.4B in IPO proceeds could be consumed within 2-3 years. SpaceX will need to return to capital markets — either debt or equity — unless Anthropic compute leases and AI revenue ramp dramatically. The $74.4B raise is not a one-time solution; it buys 2-3 years of runway for the current AI investment strategy.</w:t>
      </w:r>
    </w:p>
    <w:p>
      <w:pPr>
        <w:pStyle w:val="Heading2"/>
        <w:pBdr>
          <w:bottom w:val="single" w:color="2E75B6" w:sz="4"/>
        </w:pBdr>
        <w:spacing w:after="100" w:before="200"/>
      </w:pPr>
      <w:r>
        <w:rPr>
          <w:rFonts w:ascii="Arial" w:cs="Arial" w:eastAsia="Arial" w:hAnsi="Arial"/>
          <w:b/>
          <w:bCs/>
          <w:color w:val="1F3864"/>
          <w:sz w:val="28"/>
          <w:szCs w:val="28"/>
        </w:rPr>
        <w:t xml:space="preserve">10. The Valuation Math is Unforgiving</w:t>
      </w:r>
    </w:p>
    <w:p>
      <w:pPr>
        <w:spacing w:after="160"/>
      </w:pPr>
      <w:r>
        <w:rPr>
          <w:rFonts w:ascii="Arial" w:cs="Arial" w:eastAsia="Arial" w:hAnsi="Arial"/>
          <w:i w:val="false"/>
          <w:iCs w:val="false"/>
          <w:color w:val="000000"/>
          <w:sz w:val="20"/>
          <w:szCs w:val="20"/>
        </w:rPr>
        <w:t xml:space="preserve">At $135/share (~$1.77T market cap), SpaceX needs to generate approximately $88B in annual revenue by 2030 at 30% FCF margins to justify the price on a 20x FCF basis (the kind of multiple a high-growth tech company commands at maturity). For context, FY2025 revenue was $18.7B. This implies a 4.7x revenue increase in 5 years — a CAGR of ~36%. SpaceX's track record (34% CAGR in FY2023-25) makes this theoretically achievable, but only if Starlink grows to 20M+ subscribers, Starship commercial operations begin, AND the AI segment contributes meaningfully. Three simultaneous hits are required. The margin for error is zero.</w:t>
      </w:r>
    </w:p>
    <w:p>
      <w:pPr>
        <w:pStyle w:val="Heading2"/>
        <w:pBdr>
          <w:bottom w:val="single" w:color="2E75B6" w:sz="4"/>
        </w:pBdr>
        <w:spacing w:after="100" w:before="200"/>
      </w:pPr>
      <w:r>
        <w:rPr>
          <w:rFonts w:ascii="Arial" w:cs="Arial" w:eastAsia="Arial" w:hAnsi="Arial"/>
          <w:b/>
          <w:bCs/>
          <w:color w:val="1F3864"/>
          <w:sz w:val="28"/>
          <w:szCs w:val="28"/>
        </w:rPr>
        <w:t xml:space="preserve">11. What Damodaran Gets Right (and Wrong)</w:t>
      </w:r>
    </w:p>
    <w:p>
      <w:pPr>
        <w:spacing w:after="160"/>
      </w:pPr>
      <w:r>
        <w:rPr>
          <w:rFonts w:ascii="Arial" w:cs="Arial" w:eastAsia="Arial" w:hAnsi="Arial"/>
          <w:i w:val="false"/>
          <w:iCs w:val="false"/>
          <w:color w:val="000000"/>
          <w:sz w:val="20"/>
          <w:szCs w:val="20"/>
        </w:rPr>
        <w:t xml:space="preserve">Damodaran's post-prospectus valuation of ~$1.25-1.30T (equity) is the most rigorous public estimate available. He correctly identifies Connectivity as the value engine (60% margin, $120B target revenue by 2036) and correctly flags AI as the key uncertainty (margin cut from 45% to 25% in updated model). Where his model may be conservative: he uses a 8.37% cost of capital for SpaceX, treating much of the risk as idiosyncratic and diversifiable. If the AI bet fails and investors re-rate SpaceX as primarily a regulated telecom + aerospace business, the appropriate cost of capital might be lower, but the target revenues for AI would also collapse. The range of reasonable valuations is genuinely wide — $700B to $3T depending on your AI assumptions.</w:t>
      </w:r>
    </w:p>
    <w:p>
      <w:pPr>
        <w:pStyle w:val="Heading2"/>
        <w:pBdr>
          <w:bottom w:val="single" w:color="2E75B6" w:sz="4"/>
        </w:pBdr>
        <w:spacing w:after="100" w:before="200"/>
      </w:pPr>
      <w:r>
        <w:rPr>
          <w:rFonts w:ascii="Arial" w:cs="Arial" w:eastAsia="Arial" w:hAnsi="Arial"/>
          <w:b/>
          <w:bCs/>
          <w:color w:val="1F3864"/>
          <w:sz w:val="28"/>
          <w:szCs w:val="28"/>
        </w:rPr>
        <w:t xml:space="preserve">12. The Lock-Up Overhang</w:t>
      </w:r>
    </w:p>
    <w:p>
      <w:pPr>
        <w:spacing w:after="160"/>
      </w:pPr>
      <w:r>
        <w:rPr>
          <w:rFonts w:ascii="Arial" w:cs="Arial" w:eastAsia="Arial" w:hAnsi="Arial"/>
          <w:i w:val="false"/>
          <w:iCs w:val="false"/>
          <w:color w:val="000000"/>
          <w:sz w:val="20"/>
          <w:szCs w:val="20"/>
        </w:rPr>
        <w:t xml:space="preserve">SpaceX has raised over $9B in pre-IPO equity from sophisticated venture capitalists (Founders Fund, Andreessen Horowitz, Sequoia) and strategic investors (Fidelity, Google). These investors bought at much lower valuations ($100-300/share pre-split equivalent) and are now sitting on substantial gains. Standard lock-up periods are 180 days post-IPO, but many large IPOs see significant selling pressure immediately upon lock-up expiry. At a $1.77T market cap, even a 5% secondary offering ($88B) would be one of the largest block trades in history. This is not hypothetical — it is inevitable as VC funds return capital to LPs.</w:t>
      </w:r>
    </w:p>
    <w:p>
      <w:pPr>
        <w:pStyle w:val="Heading2"/>
        <w:pBdr>
          <w:bottom w:val="single" w:color="2E75B6" w:sz="4"/>
        </w:pBdr>
        <w:spacing w:after="100" w:before="200"/>
      </w:pPr>
      <w:r>
        <w:rPr>
          <w:rFonts w:ascii="Arial" w:cs="Arial" w:eastAsia="Arial" w:hAnsi="Arial"/>
          <w:b/>
          <w:bCs/>
          <w:color w:val="1F3864"/>
          <w:sz w:val="28"/>
          <w:szCs w:val="28"/>
        </w:rPr>
        <w:t xml:space="preserve">13. Starship as an Orbital AI Platform</w:t>
      </w:r>
    </w:p>
    <w:p>
      <w:pPr>
        <w:spacing w:after="160"/>
      </w:pPr>
      <w:r>
        <w:rPr>
          <w:rFonts w:ascii="Arial" w:cs="Arial" w:eastAsia="Arial" w:hAnsi="Arial"/>
          <w:i w:val="false"/>
          <w:iCs w:val="false"/>
          <w:color w:val="000000"/>
          <w:sz w:val="20"/>
          <w:szCs w:val="20"/>
        </w:rPr>
        <w:t xml:space="preserve">One genuinely underappreciated optionality in SpaceX: the prospectus mentions plans to deploy orbital AI compute satellites using Starship and space-based solar power as the energy source. The premise — that terrestrial power grids cannot keep pace with AI demand, but space-based solar provides 5x the energy density of terrestrial solar — is scientifically sound. If SpaceX can deploy orbital AI data centers by 2028-2030, they would have an unconstrained power advantage over all terrestrial AI providers. This is speculative technology with significant execution risk, but as an option on solving AI's biggest structural constraint (power), it has real value.</w:t>
      </w:r>
    </w:p>
    <w:p>
      <w:pPr>
        <w:pStyle w:val="Heading2"/>
        <w:pBdr>
          <w:bottom w:val="single" w:color="2E75B6" w:sz="4"/>
        </w:pBdr>
        <w:spacing w:after="100" w:before="200"/>
      </w:pPr>
      <w:r>
        <w:rPr>
          <w:rFonts w:ascii="Arial" w:cs="Arial" w:eastAsia="Arial" w:hAnsi="Arial"/>
          <w:b/>
          <w:bCs/>
          <w:color w:val="1F3864"/>
          <w:sz w:val="28"/>
          <w:szCs w:val="28"/>
        </w:rPr>
        <w:t xml:space="preserve">14. The Mars Option: Real or Narrative?</w:t>
      </w:r>
    </w:p>
    <w:p>
      <w:pPr>
        <w:spacing w:after="160"/>
      </w:pPr>
      <w:r>
        <w:rPr>
          <w:rFonts w:ascii="Arial" w:cs="Arial" w:eastAsia="Arial" w:hAnsi="Arial"/>
          <w:i w:val="false"/>
          <w:iCs w:val="false"/>
          <w:color w:val="000000"/>
          <w:sz w:val="20"/>
          <w:szCs w:val="20"/>
        </w:rPr>
        <w:t xml:space="preserve">Musk's stated goal of a 1 million-person Mars colony is the founding mission of SpaceX. Investors are essentially writing a long-dated call option on Mars colonisation being both technically feasible and economically remunerative. The performance share package (1B+ Class B shares) has a tranche vesting upon 'establishment of a permanent human colony on Mars with at least one million inhabitants.' This milestone — if ever achieved — would likely be a 20-30+ year horizon event. Mars is genuinely a long-duration speculative option in the SpaceX investment thesis. Disciplined investors should not include Mars colonisation revenue in any 10-year valuation model.</w:t>
      </w:r>
    </w:p>
    <w:p>
      <w:pPr>
        <w:pStyle w:val="Heading2"/>
        <w:pBdr>
          <w:bottom w:val="single" w:color="2E75B6" w:sz="4"/>
        </w:pBdr>
        <w:spacing w:after="100" w:before="200"/>
      </w:pPr>
      <w:r>
        <w:rPr>
          <w:rFonts w:ascii="Arial" w:cs="Arial" w:eastAsia="Arial" w:hAnsi="Arial"/>
          <w:b/>
          <w:bCs/>
          <w:color w:val="1F3864"/>
          <w:sz w:val="28"/>
          <w:szCs w:val="28"/>
        </w:rPr>
        <w:t xml:space="preserve">15. When Would We Be Buyers?</w:t>
      </w:r>
    </w:p>
    <w:p>
      <w:pPr>
        <w:spacing w:after="160"/>
      </w:pPr>
      <w:r>
        <w:rPr>
          <w:rFonts w:ascii="Arial" w:cs="Arial" w:eastAsia="Arial" w:hAnsi="Arial"/>
          <w:i w:val="false"/>
          <w:iCs w:val="false"/>
          <w:color w:val="000000"/>
          <w:sz w:val="20"/>
          <w:szCs w:val="20"/>
        </w:rPr>
        <w:t xml:space="preserve">SpaceX at $135/share is a 'not yet' — not an 'avoid forever.' The business is real, the competitive moats are genuine, and the Starlink trajectory is exceptional. The entry point matters enormously. Our buy thesis triggers at: (a) Share price of $90-105 (base-case intrinsic value, ~22-33% correction from IPO), (b) Evidence of AI segment revenue traction (Grok enterprise revenue &gt;$500M/quarter), (c) Starship commercial payload delivery commencing at planned capacity, or (d) ARPU stabilisation or recovery in Starlink. Any one of these would improve the risk/reward materially. The post-Facebook IPO (-50% in first 6 months) and post-Uber IPO (-50% in year 1) provide precedent for major tech IPOs overshooting before finding fair value. SpaceX investors with patience and a buy target of $95-105 should have the discipline to wait.</w:t>
      </w:r>
    </w:p>
    <w:p>
      <w:pPr>
        <w:spacing w:after="80" w:before="120"/>
      </w:pPr>
      <w:r>
        <w:rPr>
          <w:rFonts w:ascii="Arial" w:cs="Arial" w:eastAsia="Arial" w:hAnsi="Arial"/>
          <w:i w:val="false"/>
          <w:iCs w:val="false"/>
          <w:color w:val="000000"/>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2F2F2" w:val="clear"/>
            <w:tcMar>
              <w:top w:type="dxa" w:w="120"/>
              <w:left w:type="dxa" w:w="160"/>
              <w:bottom w:type="dxa" w:w="120"/>
              <w:right w:type="dxa" w:w="160"/>
            </w:tcMar>
          </w:tcPr>
          <w:p>
            <w:pPr>
              <w:jc w:val="center"/>
            </w:pPr>
            <w:r>
              <w:rPr>
                <w:rFonts w:ascii="Arial" w:cs="Arial" w:eastAsia="Arial" w:hAnsi="Arial"/>
                <w:b/>
                <w:bCs/>
                <w:color w:val="C00000"/>
                <w:sz w:val="18"/>
                <w:szCs w:val="18"/>
              </w:rPr>
              <w:t xml:space="preserve">DISCLAIMER</w:t>
            </w:r>
          </w:p>
          <w:p>
            <w:pPr>
              <w:spacing w:after="40"/>
              <w:jc w:val="center"/>
            </w:pPr>
            <w:r>
              <w:rPr>
                <w:rFonts w:ascii="Arial" w:cs="Arial" w:eastAsia="Arial" w:hAnsi="Arial"/>
                <w:i w:val="false"/>
                <w:iCs w:val="false"/>
                <w:color w:val="595959"/>
                <w:sz w:val="16"/>
                <w:szCs w:val="16"/>
              </w:rPr>
              <w:t xml:space="preserve">This report has been prepared by Curious Investing Insights for informational and educational purposes only. It does not constitute investment advice, a solicitation, or an offer to buy or sell any security. The analysis is based on publicly available information including the SpaceX Preliminary Prospectus dated June 3, 2026, and publicly available analyses by Aswath Damodaran. All financial estimates, valuations, and recommendations are the author's own views and are subject to change. Investors should conduct their own due diligence and consult a qualified financial advisor before making any investment decision. Past performance is not indicative of future results. The author may hold positions in securities mentioned herein.</w:t>
            </w:r>
          </w:p>
          <w:p>
            <w:pPr>
              <w:jc w:val="center"/>
            </w:pPr>
            <w:r>
              <w:rPr>
                <w:rFonts w:ascii="Arial" w:cs="Arial" w:eastAsia="Arial" w:hAnsi="Arial"/>
                <w:i/>
                <w:iCs/>
                <w:color w:val="595959"/>
                <w:sz w:val="16"/>
                <w:szCs w:val="16"/>
              </w:rPr>
              <w:t xml:space="preserve">Curious Investing Insights  |  curiousinvestinginsights@gmail.com  |  June 7, 2026</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4"/>
      </w:pBdr>
      <w:tabs>
        <w:tab w:val="right" w:pos="9360"/>
      </w:tabs>
    </w:pPr>
    <w:r>
      <w:rPr>
        <w:rFonts w:ascii="Arial" w:cs="Arial" w:eastAsia="Arial" w:hAnsi="Arial"/>
        <w:color w:val="595959"/>
        <w:sz w:val="16"/>
        <w:szCs w:val="16"/>
      </w:rPr>
      <w:t xml:space="preserve">Curious Investing Insights  |  For informational purposes only. Not investment advice.</w:t>
    </w:r>
    <w:r>
      <w:rPr>
        <w:rFonts w:ascii="Arial" w:cs="Arial" w:eastAsia="Arial" w:hAnsi="Arial"/>
        <w:color w:val="595959"/>
        <w:sz w:val="16"/>
        <w:szCs w:val="16"/>
      </w:rPr>
      <w:t xml:space="preserve">	Page </w:t>
    </w:r>
    <w:r>
      <w:rPr>
        <w:rFonts w:ascii="Arial" w:cs="Arial" w:eastAsia="Arial" w:hAnsi="Arial"/>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pBdr>
      <w:tabs>
        <w:tab w:val="right" w:pos="9360"/>
      </w:tabs>
    </w:pPr>
    <w:r>
      <w:rPr>
        <w:rFonts w:ascii="Arial" w:cs="Arial" w:eastAsia="Arial" w:hAnsi="Arial"/>
        <w:color w:val="595959"/>
        <w:sz w:val="16"/>
        <w:szCs w:val="16"/>
      </w:rPr>
      <w:t xml:space="preserve">SpaceX IPO Deep-Dive — Institutional Research Report  |  June 2026</w:t>
    </w:r>
    <w:r>
      <w:rPr>
        <w:rFonts w:ascii="Arial" w:cs="Arial" w:eastAsia="Arial" w:hAnsi="Arial"/>
        <w:b/>
        <w:bCs/>
        <w:color w:val="C00000"/>
        <w:sz w:val="16"/>
        <w:szCs w:val="16"/>
      </w:rPr>
      <w:t xml:space="preserve">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FFFFFF"/>
      <w:sz w:val="36"/>
      <w:szCs w:val="36"/>
    </w:rPr>
  </w:style>
  <w:style w:type="paragraph" w:styleId="Heading2">
    <w:name w:val="Heading 2"/>
    <w:basedOn w:val="Normal"/>
    <w:next w:val="Normal"/>
    <w:qFormat/>
    <w:pPr>
      <w:spacing w:after="100" w:before="200"/>
      <w:outlineLvl w:val="1"/>
    </w:pPr>
    <w:rPr>
      <w:rFonts w:ascii="Arial" w:cs="Arial" w:eastAsia="Arial" w:hAnsi="Arial"/>
      <w:b/>
      <w:bCs/>
      <w:color w:val="1F3864"/>
      <w:sz w:val="28"/>
      <w:szCs w:val="28"/>
    </w:rPr>
  </w:style>
  <w:style w:type="paragraph" w:styleId="Heading3">
    <w:name w:val="Heading 3"/>
    <w:basedOn w:val="Normal"/>
    <w:next w:val="Normal"/>
    <w:qFormat/>
    <w:pPr>
      <w:spacing w:after="80" w:before="160"/>
      <w:outlineLvl w:val="2"/>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2026-06-07T13:20:46.757Z</dcterms:created>
  <dcterms:modified xsi:type="dcterms:W3CDTF">2026-06-07T13:20:46.758Z</dcterms:modified>
</cp:coreProperties>
</file>

<file path=docProps/custom.xml><?xml version="1.0" encoding="utf-8"?>
<Properties xmlns="http://schemas.openxmlformats.org/officeDocument/2006/custom-properties" xmlns:vt="http://schemas.openxmlformats.org/officeDocument/2006/docPropsVTypes"/>
</file>